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2F" w:rsidRDefault="00623C2F">
      <w:pPr>
        <w:pStyle w:val="CommentText"/>
        <w:rPr>
          <w:noProof/>
          <w:szCs w:val="24"/>
          <w:lang w:val="en-US"/>
        </w:rPr>
      </w:pPr>
      <w:bookmarkStart w:id="0" w:name="_GoBack"/>
      <w:bookmarkEnd w:id="0"/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F4367A" w:rsidRDefault="00FD34CA">
      <w:pPr>
        <w:pStyle w:val="CommentText"/>
        <w:rPr>
          <w:noProof/>
          <w:szCs w:val="24"/>
          <w:lang w:val="en-US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-683895</wp:posOffset>
                </wp:positionV>
                <wp:extent cx="1143000" cy="1485900"/>
                <wp:effectExtent l="0" t="190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FDD" w:rsidRDefault="00EA2FD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85CA9C" wp14:editId="79BABD67">
                                  <wp:extent cx="935355" cy="1254760"/>
                                  <wp:effectExtent l="0" t="0" r="0" b="2540"/>
                                  <wp:docPr id="1" name="Picture 1" descr="occ_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c_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355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6pt;margin-top:-53.85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JjhAIAABE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" stroked="f">
                <v:textbox>
                  <w:txbxContent>
                    <w:p w:rsidR="00EA2FDD" w:rsidRDefault="00EA2FD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85CA9C" wp14:editId="79BABD67">
                            <wp:extent cx="935355" cy="1254760"/>
                            <wp:effectExtent l="0" t="0" r="0" b="2540"/>
                            <wp:docPr id="1" name="Picture 1" descr="occ_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c_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355" cy="125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367A" w:rsidRDefault="00F4367A">
      <w:pPr>
        <w:jc w:val="right"/>
        <w:rPr>
          <w:b/>
          <w:bCs/>
        </w:rPr>
      </w:pPr>
    </w:p>
    <w:p w:rsidR="00F4367A" w:rsidRDefault="00F4367A">
      <w:pPr>
        <w:jc w:val="right"/>
      </w:pPr>
    </w:p>
    <w:p w:rsidR="00F4367A" w:rsidRDefault="00F4367A">
      <w:pPr>
        <w:tabs>
          <w:tab w:val="left" w:pos="2160"/>
        </w:tabs>
        <w:rPr>
          <w:b/>
          <w:bCs/>
          <w:sz w:val="32"/>
          <w:u w:val="single"/>
        </w:rPr>
      </w:pPr>
      <w:r>
        <w:rPr>
          <w:rFonts w:cs="Arial"/>
          <w:b/>
          <w:bCs/>
          <w:sz w:val="32"/>
          <w:u w:val="single"/>
        </w:rPr>
        <w:t>DRAFT</w:t>
      </w:r>
      <w:r>
        <w:rPr>
          <w:b/>
          <w:bCs/>
          <w:sz w:val="32"/>
          <w:u w:val="single"/>
        </w:rPr>
        <w:t xml:space="preserve">                                                                               </w:t>
      </w:r>
    </w:p>
    <w:p w:rsidR="00F4367A" w:rsidRDefault="00F4367A">
      <w:pPr>
        <w:rPr>
          <w:b/>
          <w:bCs/>
        </w:rPr>
      </w:pP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  <w:r>
        <w:rPr>
          <w:rFonts w:cs="Arial"/>
          <w:b/>
          <w:bCs/>
        </w:rPr>
        <w:t>To:</w:t>
      </w:r>
      <w:r w:rsidR="00EA2FDD">
        <w:rPr>
          <w:rFonts w:cs="Arial"/>
          <w:b/>
          <w:bCs/>
        </w:rPr>
        <w:tab/>
      </w:r>
      <w:r w:rsidR="00925E65">
        <w:rPr>
          <w:rFonts w:cs="Arial"/>
          <w:b/>
          <w:bCs/>
        </w:rPr>
        <w:t>Audit &amp; Governance Committee</w:t>
      </w:r>
      <w:r>
        <w:rPr>
          <w:rFonts w:cs="Arial"/>
          <w:b/>
          <w:bCs/>
        </w:rPr>
        <w:tab/>
      </w:r>
    </w:p>
    <w:p w:rsidR="00F4367A" w:rsidRDefault="00F4367A">
      <w:pPr>
        <w:rPr>
          <w:rFonts w:cs="Arial"/>
          <w:b/>
          <w:bCs/>
        </w:rPr>
      </w:pPr>
    </w:p>
    <w:p w:rsidR="00F4367A" w:rsidRDefault="00F4367A">
      <w:pPr>
        <w:tabs>
          <w:tab w:val="left" w:pos="2160"/>
          <w:tab w:val="left" w:pos="6300"/>
          <w:tab w:val="left" w:pos="7380"/>
        </w:tabs>
        <w:rPr>
          <w:rFonts w:cs="Arial"/>
          <w:b/>
          <w:bCs/>
        </w:rPr>
      </w:pPr>
      <w:r>
        <w:rPr>
          <w:rFonts w:cs="Arial"/>
          <w:b/>
          <w:bCs/>
        </w:rPr>
        <w:t>Date:</w:t>
      </w:r>
      <w:r w:rsidR="00EA2FDD">
        <w:rPr>
          <w:rFonts w:cs="Arial"/>
          <w:b/>
          <w:bCs/>
        </w:rPr>
        <w:tab/>
      </w:r>
      <w:r w:rsidR="0023299C">
        <w:rPr>
          <w:rFonts w:cs="Arial"/>
          <w:b/>
          <w:bCs/>
        </w:rPr>
        <w:t>26</w:t>
      </w:r>
      <w:r w:rsidR="0023299C" w:rsidRPr="0023299C">
        <w:rPr>
          <w:rFonts w:cs="Arial"/>
          <w:b/>
          <w:bCs/>
          <w:vertAlign w:val="superscript"/>
        </w:rPr>
        <w:t>th</w:t>
      </w:r>
      <w:r w:rsidR="0023299C">
        <w:rPr>
          <w:rFonts w:cs="Arial"/>
          <w:b/>
          <w:bCs/>
        </w:rPr>
        <w:t xml:space="preserve"> February 2015</w:t>
      </w:r>
      <w:r>
        <w:rPr>
          <w:rFonts w:cs="Arial"/>
          <w:b/>
          <w:bCs/>
        </w:rPr>
        <w:tab/>
        <w:t xml:space="preserve">       </w:t>
      </w:r>
      <w:r>
        <w:rPr>
          <w:rFonts w:cs="Arial"/>
          <w:b/>
          <w:bCs/>
        </w:rPr>
        <w:tab/>
        <w:t xml:space="preserve">   </w:t>
      </w:r>
      <w:r>
        <w:rPr>
          <w:rFonts w:cs="Arial"/>
          <w:b/>
          <w:bCs/>
        </w:rPr>
        <w:tab/>
      </w:r>
    </w:p>
    <w:p w:rsidR="00F4367A" w:rsidRDefault="00F4367A">
      <w:pPr>
        <w:jc w:val="right"/>
        <w:rPr>
          <w:rFonts w:cs="Arial"/>
          <w:b/>
          <w:bCs/>
        </w:rPr>
      </w:pPr>
    </w:p>
    <w:p w:rsidR="00F4367A" w:rsidRDefault="00F4367A">
      <w:pPr>
        <w:rPr>
          <w:rFonts w:cs="Arial"/>
          <w:b/>
          <w:bCs/>
        </w:rPr>
      </w:pPr>
      <w:r>
        <w:rPr>
          <w:rFonts w:cs="Arial"/>
          <w:b/>
          <w:bCs/>
        </w:rPr>
        <w:t>Report of:</w:t>
      </w:r>
      <w:r w:rsidR="00EA2FDD">
        <w:rPr>
          <w:rFonts w:cs="Arial"/>
          <w:b/>
          <w:bCs/>
        </w:rPr>
        <w:tab/>
      </w:r>
      <w:r w:rsidR="00EA2FDD">
        <w:rPr>
          <w:rFonts w:cs="Arial"/>
          <w:b/>
          <w:bCs/>
        </w:rPr>
        <w:tab/>
        <w:t xml:space="preserve">Head of </w:t>
      </w:r>
      <w:r w:rsidR="00925E65">
        <w:rPr>
          <w:rFonts w:cs="Arial"/>
          <w:b/>
          <w:bCs/>
        </w:rPr>
        <w:t xml:space="preserve">Finance </w:t>
      </w:r>
      <w:r>
        <w:rPr>
          <w:rFonts w:cs="Arial"/>
          <w:b/>
          <w:bCs/>
        </w:rPr>
        <w:tab/>
      </w: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</w:p>
    <w:p w:rsidR="00F4367A" w:rsidRDefault="00F4367A" w:rsidP="00925E65">
      <w:pPr>
        <w:tabs>
          <w:tab w:val="left" w:pos="2160"/>
        </w:tabs>
        <w:ind w:left="2160" w:hanging="2160"/>
        <w:rPr>
          <w:rFonts w:cs="Arial"/>
          <w:b/>
          <w:bCs/>
        </w:rPr>
      </w:pPr>
      <w:r>
        <w:rPr>
          <w:rFonts w:cs="Arial"/>
          <w:b/>
          <w:bCs/>
        </w:rPr>
        <w:t>Title of Report:</w:t>
      </w:r>
      <w:r>
        <w:rPr>
          <w:rFonts w:cs="Arial"/>
          <w:b/>
          <w:bCs/>
        </w:rPr>
        <w:tab/>
      </w:r>
      <w:r w:rsidR="00925E65">
        <w:rPr>
          <w:rFonts w:cs="Arial"/>
          <w:b/>
          <w:bCs/>
        </w:rPr>
        <w:t>Risk Management Quarterly Reporting: Quarter 3 2014/2015</w:t>
      </w:r>
    </w:p>
    <w:p w:rsidR="00F4367A" w:rsidRDefault="00F4367A">
      <w:pPr>
        <w:rPr>
          <w:rFonts w:cs="Arial"/>
        </w:rPr>
      </w:pP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>
        <w:rPr>
          <w:u w:val="single"/>
        </w:rPr>
        <w:t>Summary and Recommendations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  <w:bCs/>
        </w:rPr>
        <w:t>Purpose of report</w:t>
      </w:r>
      <w:r>
        <w:rPr>
          <w:rFonts w:cs="Arial"/>
        </w:rPr>
        <w:t xml:space="preserve">:  </w:t>
      </w:r>
      <w:r w:rsidR="00925E65">
        <w:rPr>
          <w:rFonts w:cs="Arial"/>
        </w:rPr>
        <w:t>To update the Committee on both corporate and service risks as at the end of Quarter 3, 31</w:t>
      </w:r>
      <w:r w:rsidR="00925E65" w:rsidRPr="00925E65">
        <w:rPr>
          <w:rFonts w:cs="Arial"/>
          <w:vertAlign w:val="superscript"/>
        </w:rPr>
        <w:t>st</w:t>
      </w:r>
      <w:r w:rsidR="00925E65">
        <w:rPr>
          <w:rFonts w:cs="Arial"/>
        </w:rPr>
        <w:t xml:space="preserve"> December 2014.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F4367A" w:rsidRPr="00925E65" w:rsidRDefault="002B526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2"/>
        </w:tabs>
        <w:rPr>
          <w:bCs w:val="0"/>
        </w:rPr>
      </w:pPr>
      <w:r>
        <w:rPr>
          <w:bCs w:val="0"/>
        </w:rPr>
        <w:t>Key decision:</w:t>
      </w:r>
      <w:r w:rsidR="00925E65">
        <w:rPr>
          <w:b w:val="0"/>
          <w:bCs w:val="0"/>
          <w:i/>
        </w:rPr>
        <w:t xml:space="preserve"> </w:t>
      </w:r>
      <w:r w:rsidR="00925E65" w:rsidRPr="00925E65">
        <w:rPr>
          <w:bCs w:val="0"/>
        </w:rPr>
        <w:t>No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 xml:space="preserve">Executive lead member: </w:t>
      </w:r>
      <w:r w:rsidR="00925E65">
        <w:rPr>
          <w:rFonts w:cs="Arial"/>
          <w:b/>
          <w:bCs/>
        </w:rPr>
        <w:t>Councillor Ed Turner</w:t>
      </w: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 xml:space="preserve">Policy Framework: </w:t>
      </w:r>
      <w:r w:rsidR="00925E65">
        <w:rPr>
          <w:rFonts w:cs="Arial"/>
          <w:b/>
          <w:bCs/>
        </w:rPr>
        <w:t>Corporate Plan - Efficient, Effective Council</w:t>
      </w: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5E65" w:rsidRPr="008E4C68" w:rsidRDefault="00F4367A" w:rsidP="00925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</w:rPr>
      </w:pPr>
      <w:r>
        <w:rPr>
          <w:rFonts w:cs="Arial"/>
          <w:b/>
        </w:rPr>
        <w:t xml:space="preserve">Recommendation(s): </w:t>
      </w:r>
      <w:r w:rsidR="00925E65" w:rsidRPr="008E4C68">
        <w:rPr>
          <w:rFonts w:cs="Arial"/>
        </w:rPr>
        <w:t>The Committee are asked to note the contents of this report</w:t>
      </w:r>
      <w:r w:rsidR="00925E65">
        <w:rPr>
          <w:rFonts w:cs="Arial"/>
        </w:rPr>
        <w:t>.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  <w:b/>
        </w:rPr>
      </w:pPr>
      <w:r>
        <w:rPr>
          <w:rFonts w:cs="Arial"/>
          <w:b/>
        </w:rPr>
        <w:tab/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  <w:b/>
        </w:rPr>
      </w:pPr>
    </w:p>
    <w:p w:rsidR="00F4367A" w:rsidRDefault="00F4367A">
      <w:pPr>
        <w:rPr>
          <w:rFonts w:cs="Arial"/>
        </w:rPr>
      </w:pPr>
    </w:p>
    <w:p w:rsidR="007B6E54" w:rsidRPr="002B5264" w:rsidRDefault="00713675" w:rsidP="002B5264">
      <w:pPr>
        <w:rPr>
          <w:rFonts w:cs="Arial"/>
          <w:b/>
        </w:rPr>
      </w:pPr>
      <w:proofErr w:type="gramStart"/>
      <w:r w:rsidRPr="002B5264">
        <w:rPr>
          <w:rFonts w:cs="Arial"/>
          <w:b/>
        </w:rPr>
        <w:t>Appendi</w:t>
      </w:r>
      <w:r w:rsidR="002B5264">
        <w:rPr>
          <w:rFonts w:cs="Arial"/>
          <w:b/>
        </w:rPr>
        <w:t>x</w:t>
      </w:r>
      <w:r w:rsidRPr="002B5264">
        <w:rPr>
          <w:rFonts w:cs="Arial"/>
          <w:b/>
        </w:rPr>
        <w:t xml:space="preserve"> </w:t>
      </w:r>
      <w:r w:rsidR="002B5264" w:rsidRPr="002B5264">
        <w:rPr>
          <w:rFonts w:cs="Arial"/>
          <w:b/>
        </w:rPr>
        <w:t xml:space="preserve"> A</w:t>
      </w:r>
      <w:proofErr w:type="gramEnd"/>
      <w:r w:rsidR="002B5264" w:rsidRPr="002B5264">
        <w:rPr>
          <w:rFonts w:cs="Arial"/>
          <w:b/>
        </w:rPr>
        <w:tab/>
      </w:r>
      <w:r w:rsidR="002B5264" w:rsidRPr="002B5264">
        <w:rPr>
          <w:rFonts w:cs="Arial"/>
          <w:b/>
        </w:rPr>
        <w:tab/>
        <w:t xml:space="preserve">Corporate Risk Register </w:t>
      </w:r>
    </w:p>
    <w:p w:rsidR="007B6E54" w:rsidRDefault="007B6E54">
      <w:pPr>
        <w:rPr>
          <w:rFonts w:cs="Arial"/>
          <w:i/>
        </w:rPr>
      </w:pPr>
    </w:p>
    <w:p w:rsidR="004F377C" w:rsidRDefault="004F377C" w:rsidP="0097083A">
      <w:pPr>
        <w:rPr>
          <w:rFonts w:cs="Arial"/>
          <w:b/>
        </w:rPr>
      </w:pPr>
      <w:r>
        <w:rPr>
          <w:rFonts w:cs="Arial"/>
          <w:b/>
        </w:rPr>
        <w:t xml:space="preserve">Business Continuity Planning </w:t>
      </w:r>
      <w:r w:rsidR="00031F52">
        <w:rPr>
          <w:rFonts w:cs="Arial"/>
          <w:b/>
        </w:rPr>
        <w:t>(BCP)</w:t>
      </w:r>
    </w:p>
    <w:p w:rsidR="004F377C" w:rsidRDefault="004F377C" w:rsidP="0097083A">
      <w:pPr>
        <w:rPr>
          <w:rFonts w:cs="Arial"/>
          <w:b/>
        </w:rPr>
      </w:pPr>
    </w:p>
    <w:p w:rsidR="004F377C" w:rsidRPr="0086599A" w:rsidRDefault="004F377C" w:rsidP="007E33BE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86599A">
        <w:rPr>
          <w:rFonts w:cs="Arial"/>
        </w:rPr>
        <w:t xml:space="preserve">Following recent events </w:t>
      </w:r>
      <w:r w:rsidR="00A418BD" w:rsidRPr="0086599A">
        <w:rPr>
          <w:rFonts w:cs="Arial"/>
        </w:rPr>
        <w:t xml:space="preserve">in Paris, associated threats to a business in Broad Street and the recent fire </w:t>
      </w:r>
      <w:r w:rsidRPr="0086599A">
        <w:rPr>
          <w:rFonts w:cs="Arial"/>
        </w:rPr>
        <w:t xml:space="preserve">at the offices of South Oxfordshire District Council, </w:t>
      </w:r>
      <w:r w:rsidR="00A418BD" w:rsidRPr="0086599A">
        <w:rPr>
          <w:rFonts w:cs="Arial"/>
        </w:rPr>
        <w:t xml:space="preserve">a high level review of </w:t>
      </w:r>
      <w:r w:rsidR="00B63816" w:rsidRPr="0086599A">
        <w:rPr>
          <w:rFonts w:cs="Arial"/>
        </w:rPr>
        <w:t xml:space="preserve">emergency and business Continuity Plans </w:t>
      </w:r>
      <w:r w:rsidR="00A418BD" w:rsidRPr="0086599A">
        <w:rPr>
          <w:rFonts w:cs="Arial"/>
        </w:rPr>
        <w:t>has taken place</w:t>
      </w:r>
      <w:r w:rsidR="00B63816" w:rsidRPr="0086599A">
        <w:rPr>
          <w:rFonts w:cs="Arial"/>
        </w:rPr>
        <w:t>.  T</w:t>
      </w:r>
      <w:r w:rsidRPr="0086599A">
        <w:rPr>
          <w:rFonts w:cs="Arial"/>
        </w:rPr>
        <w:t xml:space="preserve">he Risk Group </w:t>
      </w:r>
      <w:r w:rsidR="00B63816" w:rsidRPr="0086599A">
        <w:rPr>
          <w:rFonts w:cs="Arial"/>
        </w:rPr>
        <w:t>has been commissioned to</w:t>
      </w:r>
      <w:r w:rsidRPr="0086599A">
        <w:rPr>
          <w:rFonts w:cs="Arial"/>
        </w:rPr>
        <w:t xml:space="preserve"> review</w:t>
      </w:r>
      <w:r w:rsidR="00B63816" w:rsidRPr="0086599A">
        <w:rPr>
          <w:rFonts w:cs="Arial"/>
        </w:rPr>
        <w:t xml:space="preserve"> </w:t>
      </w:r>
      <w:r w:rsidRPr="0086599A">
        <w:rPr>
          <w:rFonts w:cs="Arial"/>
        </w:rPr>
        <w:t xml:space="preserve">the </w:t>
      </w:r>
      <w:r w:rsidR="00B63816" w:rsidRPr="0086599A">
        <w:rPr>
          <w:rFonts w:cs="Arial"/>
        </w:rPr>
        <w:t>Business Impact Assessments</w:t>
      </w:r>
      <w:r w:rsidR="007E4914" w:rsidRPr="0086599A">
        <w:rPr>
          <w:rFonts w:cs="Arial"/>
        </w:rPr>
        <w:t xml:space="preserve"> (BIA) of Service’s Business Continuity Plans</w:t>
      </w:r>
      <w:r w:rsidRPr="0086599A">
        <w:rPr>
          <w:rFonts w:cs="Arial"/>
        </w:rPr>
        <w:t xml:space="preserve">. </w:t>
      </w:r>
    </w:p>
    <w:p w:rsidR="004F377C" w:rsidRDefault="004F377C" w:rsidP="007E33BE">
      <w:pPr>
        <w:jc w:val="both"/>
        <w:rPr>
          <w:rFonts w:cs="Arial"/>
        </w:rPr>
      </w:pPr>
    </w:p>
    <w:p w:rsidR="00DA462F" w:rsidRPr="00DA462F" w:rsidRDefault="00DA462F" w:rsidP="00B37D89">
      <w:pPr>
        <w:pStyle w:val="ListParagraph"/>
        <w:rPr>
          <w:rFonts w:cs="Arial"/>
        </w:rPr>
      </w:pPr>
    </w:p>
    <w:p w:rsidR="00DA462F" w:rsidRDefault="00DA462F" w:rsidP="007E33BE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B</w:t>
      </w:r>
      <w:r w:rsidR="006F6384">
        <w:rPr>
          <w:rFonts w:cs="Arial"/>
        </w:rPr>
        <w:t xml:space="preserve">usiness </w:t>
      </w:r>
      <w:r>
        <w:rPr>
          <w:rFonts w:cs="Arial"/>
        </w:rPr>
        <w:t>I</w:t>
      </w:r>
      <w:r w:rsidR="006F6384">
        <w:rPr>
          <w:rFonts w:cs="Arial"/>
        </w:rPr>
        <w:t xml:space="preserve">mpact </w:t>
      </w:r>
      <w:r>
        <w:rPr>
          <w:rFonts w:cs="Arial"/>
        </w:rPr>
        <w:t>A</w:t>
      </w:r>
      <w:r w:rsidR="006F6384">
        <w:rPr>
          <w:rFonts w:cs="Arial"/>
        </w:rPr>
        <w:t>ssessments</w:t>
      </w:r>
      <w:r>
        <w:rPr>
          <w:rFonts w:cs="Arial"/>
        </w:rPr>
        <w:t xml:space="preserve"> identif</w:t>
      </w:r>
      <w:r w:rsidR="006F6384">
        <w:rPr>
          <w:rFonts w:cs="Arial"/>
        </w:rPr>
        <w:t>y</w:t>
      </w:r>
      <w:r>
        <w:rPr>
          <w:rFonts w:cs="Arial"/>
        </w:rPr>
        <w:t xml:space="preserve"> and document the key </w:t>
      </w:r>
      <w:r w:rsidR="00B37D89">
        <w:rPr>
          <w:rFonts w:cs="Arial"/>
        </w:rPr>
        <w:t>functions</w:t>
      </w:r>
      <w:r w:rsidR="006F6384">
        <w:rPr>
          <w:rFonts w:cs="Arial"/>
        </w:rPr>
        <w:t xml:space="preserve"> of a service area</w:t>
      </w:r>
      <w:r w:rsidR="00B37D89">
        <w:rPr>
          <w:rFonts w:cs="Arial"/>
        </w:rPr>
        <w:t>; the critical activities required to deliver the</w:t>
      </w:r>
      <w:r w:rsidR="006F6384">
        <w:rPr>
          <w:rFonts w:cs="Arial"/>
        </w:rPr>
        <w:t>m</w:t>
      </w:r>
      <w:r w:rsidR="00B37D89">
        <w:rPr>
          <w:rFonts w:cs="Arial"/>
        </w:rPr>
        <w:t xml:space="preserve">; the impact that a disruption of the activities would have on the </w:t>
      </w:r>
      <w:r w:rsidR="00B37D89">
        <w:rPr>
          <w:rFonts w:cs="Arial"/>
        </w:rPr>
        <w:lastRenderedPageBreak/>
        <w:t>Council; and the resources required to resume the activities.</w:t>
      </w:r>
      <w:r w:rsidR="006F6384" w:rsidRPr="006F6384">
        <w:rPr>
          <w:rFonts w:cs="Arial"/>
        </w:rPr>
        <w:t xml:space="preserve"> </w:t>
      </w:r>
      <w:r w:rsidR="006F6384">
        <w:rPr>
          <w:rFonts w:cs="Arial"/>
        </w:rPr>
        <w:t>Reviews will inform any changes required</w:t>
      </w:r>
      <w:r w:rsidR="003B36B0">
        <w:rPr>
          <w:rFonts w:cs="Arial"/>
        </w:rPr>
        <w:t xml:space="preserve"> to Service’s Business Continuity Plans.</w:t>
      </w:r>
    </w:p>
    <w:p w:rsidR="00CF4213" w:rsidRPr="00CF4213" w:rsidRDefault="00CF4213" w:rsidP="00CF4213">
      <w:pPr>
        <w:pStyle w:val="ListParagraph"/>
        <w:rPr>
          <w:rFonts w:cs="Arial"/>
        </w:rPr>
      </w:pPr>
    </w:p>
    <w:p w:rsidR="00CF4213" w:rsidRDefault="00CF4213" w:rsidP="007E33BE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Table top test </w:t>
      </w:r>
      <w:proofErr w:type="gramStart"/>
      <w:r>
        <w:rPr>
          <w:rFonts w:cs="Arial"/>
        </w:rPr>
        <w:t>scenario’s</w:t>
      </w:r>
      <w:proofErr w:type="gramEnd"/>
      <w:r>
        <w:rPr>
          <w:rFonts w:cs="Arial"/>
        </w:rPr>
        <w:t xml:space="preserve"> </w:t>
      </w:r>
      <w:r w:rsidR="00031F52">
        <w:rPr>
          <w:rFonts w:cs="Arial"/>
        </w:rPr>
        <w:t>will also</w:t>
      </w:r>
      <w:r>
        <w:rPr>
          <w:rFonts w:cs="Arial"/>
        </w:rPr>
        <w:t xml:space="preserve"> take place</w:t>
      </w:r>
      <w:r w:rsidR="00031F52">
        <w:rPr>
          <w:rFonts w:cs="Arial"/>
        </w:rPr>
        <w:t xml:space="preserve">, to capture </w:t>
      </w:r>
      <w:r>
        <w:rPr>
          <w:rFonts w:cs="Arial"/>
        </w:rPr>
        <w:t>all service areas by the end of April 2015.</w:t>
      </w:r>
    </w:p>
    <w:p w:rsidR="004F377C" w:rsidRPr="004F377C" w:rsidRDefault="004F377C" w:rsidP="007E33BE">
      <w:pPr>
        <w:pStyle w:val="ListParagraph"/>
        <w:jc w:val="both"/>
        <w:rPr>
          <w:rFonts w:cs="Arial"/>
        </w:rPr>
      </w:pPr>
    </w:p>
    <w:p w:rsidR="004F377C" w:rsidRDefault="004F377C" w:rsidP="007E33BE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Whilst the Risk Group does not have any concerns over the current plans that are in place, it is considered a timely reminder to ensure that they </w:t>
      </w:r>
      <w:r w:rsidR="00BF00CB">
        <w:rPr>
          <w:rFonts w:cs="Arial"/>
        </w:rPr>
        <w:t>up to date and</w:t>
      </w:r>
      <w:r>
        <w:rPr>
          <w:rFonts w:cs="Arial"/>
        </w:rPr>
        <w:t xml:space="preserve"> fit for purpose.</w:t>
      </w:r>
    </w:p>
    <w:p w:rsidR="00CF4213" w:rsidRPr="004F377C" w:rsidRDefault="00CF4213" w:rsidP="00CF4213">
      <w:pPr>
        <w:pStyle w:val="ListParagraph"/>
        <w:ind w:left="927"/>
        <w:jc w:val="both"/>
        <w:rPr>
          <w:rFonts w:cs="Arial"/>
        </w:rPr>
      </w:pPr>
    </w:p>
    <w:p w:rsidR="007E33BE" w:rsidRDefault="007E33BE" w:rsidP="004F377C">
      <w:pPr>
        <w:rPr>
          <w:rFonts w:cs="Arial"/>
          <w:b/>
        </w:rPr>
      </w:pPr>
      <w:r>
        <w:rPr>
          <w:rFonts w:cs="Arial"/>
          <w:b/>
        </w:rPr>
        <w:t xml:space="preserve">On-line Training module </w:t>
      </w:r>
    </w:p>
    <w:p w:rsidR="007E33BE" w:rsidRDefault="007E33BE" w:rsidP="004F377C">
      <w:pPr>
        <w:rPr>
          <w:rFonts w:cs="Arial"/>
          <w:b/>
        </w:rPr>
      </w:pPr>
    </w:p>
    <w:p w:rsidR="007E33BE" w:rsidRPr="004E2688" w:rsidRDefault="007E33BE" w:rsidP="004F377C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4E2688">
        <w:rPr>
          <w:rFonts w:cs="Arial"/>
        </w:rPr>
        <w:t xml:space="preserve">A new on-line training module </w:t>
      </w:r>
      <w:r w:rsidR="00CF4213">
        <w:rPr>
          <w:rFonts w:cs="Arial"/>
        </w:rPr>
        <w:t xml:space="preserve">will </w:t>
      </w:r>
      <w:r w:rsidR="004E2688" w:rsidRPr="004E2688">
        <w:rPr>
          <w:rFonts w:cs="Arial"/>
        </w:rPr>
        <w:t xml:space="preserve">be </w:t>
      </w:r>
      <w:r w:rsidRPr="004E2688">
        <w:rPr>
          <w:rFonts w:cs="Arial"/>
        </w:rPr>
        <w:t xml:space="preserve">released to staff and members </w:t>
      </w:r>
      <w:r w:rsidR="00031F52">
        <w:rPr>
          <w:rFonts w:cs="Arial"/>
        </w:rPr>
        <w:t>by the end of March 2015</w:t>
      </w:r>
      <w:r w:rsidRPr="004E2688">
        <w:rPr>
          <w:rFonts w:cs="Arial"/>
        </w:rPr>
        <w:t xml:space="preserve">. </w:t>
      </w:r>
      <w:r w:rsidR="004E2688" w:rsidRPr="004E2688">
        <w:rPr>
          <w:rFonts w:cs="Arial"/>
        </w:rPr>
        <w:t xml:space="preserve">The </w:t>
      </w:r>
      <w:r w:rsidRPr="004E2688">
        <w:rPr>
          <w:rFonts w:cs="Arial"/>
        </w:rPr>
        <w:t xml:space="preserve">module </w:t>
      </w:r>
      <w:r w:rsidR="004E2688" w:rsidRPr="004E2688">
        <w:rPr>
          <w:rFonts w:cs="Arial"/>
        </w:rPr>
        <w:t xml:space="preserve">covers the basic principles of Risk Management </w:t>
      </w:r>
      <w:r w:rsidR="00031F52">
        <w:rPr>
          <w:rFonts w:cs="Arial"/>
        </w:rPr>
        <w:t>and</w:t>
      </w:r>
      <w:r w:rsidR="004E2688" w:rsidRPr="004E2688">
        <w:rPr>
          <w:rFonts w:cs="Arial"/>
        </w:rPr>
        <w:t xml:space="preserve"> </w:t>
      </w:r>
      <w:r w:rsidR="003B36B0">
        <w:rPr>
          <w:rFonts w:cs="Arial"/>
        </w:rPr>
        <w:t xml:space="preserve">seeks </w:t>
      </w:r>
      <w:r w:rsidR="004E2688" w:rsidRPr="004E2688">
        <w:rPr>
          <w:rFonts w:cs="Arial"/>
        </w:rPr>
        <w:t>to raise the profile of the subject with</w:t>
      </w:r>
      <w:r w:rsidR="00031F52">
        <w:rPr>
          <w:rFonts w:cs="Arial"/>
        </w:rPr>
        <w:t>in</w:t>
      </w:r>
      <w:r w:rsidR="004E2688" w:rsidRPr="004E2688">
        <w:rPr>
          <w:rFonts w:cs="Arial"/>
        </w:rPr>
        <w:t xml:space="preserve"> the Council. </w:t>
      </w:r>
      <w:r w:rsidR="004E2688">
        <w:rPr>
          <w:rFonts w:cs="Arial"/>
        </w:rPr>
        <w:t xml:space="preserve"> </w:t>
      </w:r>
    </w:p>
    <w:p w:rsidR="004E2688" w:rsidRPr="004E2688" w:rsidRDefault="004E2688" w:rsidP="004E2688">
      <w:pPr>
        <w:pStyle w:val="ListParagraph"/>
        <w:ind w:left="927"/>
        <w:rPr>
          <w:rFonts w:cs="Arial"/>
          <w:b/>
        </w:rPr>
      </w:pPr>
    </w:p>
    <w:p w:rsidR="004F377C" w:rsidRPr="004F377C" w:rsidRDefault="004F377C" w:rsidP="004F377C">
      <w:pPr>
        <w:rPr>
          <w:rFonts w:cs="Arial"/>
          <w:b/>
        </w:rPr>
      </w:pPr>
      <w:r w:rsidRPr="004F377C">
        <w:rPr>
          <w:rFonts w:cs="Arial"/>
          <w:b/>
        </w:rPr>
        <w:t xml:space="preserve">Risk Scoring Matrix </w:t>
      </w:r>
    </w:p>
    <w:p w:rsidR="0097083A" w:rsidRDefault="0097083A" w:rsidP="0097083A">
      <w:pPr>
        <w:pStyle w:val="ListParagraph"/>
        <w:jc w:val="both"/>
        <w:rPr>
          <w:rFonts w:cs="Arial"/>
          <w:b/>
        </w:rPr>
      </w:pPr>
    </w:p>
    <w:p w:rsidR="0097083A" w:rsidRPr="007E33BE" w:rsidRDefault="0097083A" w:rsidP="007E33BE">
      <w:pPr>
        <w:pStyle w:val="ListParagraph"/>
        <w:numPr>
          <w:ilvl w:val="0"/>
          <w:numId w:val="2"/>
        </w:numPr>
        <w:jc w:val="both"/>
        <w:rPr>
          <w:rFonts w:cs="Arial"/>
          <w:b/>
        </w:rPr>
      </w:pPr>
      <w:r w:rsidRPr="007E33BE">
        <w:rPr>
          <w:rFonts w:cs="Arial"/>
        </w:rPr>
        <w:t>The Council’s methodology for scoring risks is set out below along with a copy of the scoring matrix.</w:t>
      </w:r>
    </w:p>
    <w:p w:rsidR="0097083A" w:rsidRPr="006A1E89" w:rsidRDefault="0097083A" w:rsidP="0097083A">
      <w:pPr>
        <w:pStyle w:val="ListParagraph"/>
        <w:rPr>
          <w:rFonts w:cs="Arial"/>
        </w:rPr>
      </w:pPr>
    </w:p>
    <w:p w:rsidR="0097083A" w:rsidRPr="006A1E89" w:rsidRDefault="00714826" w:rsidP="0097083A">
      <w:pPr>
        <w:numPr>
          <w:ilvl w:val="0"/>
          <w:numId w:val="2"/>
        </w:numPr>
        <w:jc w:val="both"/>
        <w:rPr>
          <w:rFonts w:cs="Arial"/>
          <w:b/>
        </w:rPr>
      </w:pPr>
      <w:r>
        <w:rPr>
          <w:rFonts w:cs="Arial"/>
        </w:rPr>
        <w:t>It</w:t>
      </w:r>
      <w:r w:rsidRPr="006A1E89">
        <w:rPr>
          <w:rFonts w:cs="Arial"/>
        </w:rPr>
        <w:t xml:space="preserve"> </w:t>
      </w:r>
      <w:r w:rsidR="0097083A" w:rsidRPr="006A1E89">
        <w:rPr>
          <w:rFonts w:cs="Arial"/>
        </w:rPr>
        <w:t xml:space="preserve">is possible to get the same score but end up with a different result in the heat map. For example if the probability of an event </w:t>
      </w:r>
      <w:r w:rsidR="0097083A">
        <w:rPr>
          <w:rFonts w:cs="Arial"/>
        </w:rPr>
        <w:t xml:space="preserve">occurring </w:t>
      </w:r>
      <w:r w:rsidR="0097083A" w:rsidRPr="006A1E89">
        <w:rPr>
          <w:rFonts w:cs="Arial"/>
        </w:rPr>
        <w:t>is high but the impact is low it is likely to have a lower score on the heat map. However</w:t>
      </w:r>
      <w:r w:rsidR="0097083A">
        <w:rPr>
          <w:rFonts w:cs="Arial"/>
        </w:rPr>
        <w:t>,</w:t>
      </w:r>
      <w:r w:rsidR="0097083A" w:rsidRPr="006A1E89">
        <w:rPr>
          <w:rFonts w:cs="Arial"/>
        </w:rPr>
        <w:t xml:space="preserve"> the higher the potential impact score the more likely the event will be classed as a red risk on the </w:t>
      </w:r>
      <w:r w:rsidR="0097083A">
        <w:rPr>
          <w:rFonts w:cs="Arial"/>
        </w:rPr>
        <w:t>matrix</w:t>
      </w:r>
      <w:r w:rsidR="0097083A" w:rsidRPr="006A1E89">
        <w:rPr>
          <w:rFonts w:cs="Arial"/>
        </w:rPr>
        <w:t>.</w:t>
      </w:r>
    </w:p>
    <w:tbl>
      <w:tblPr>
        <w:tblW w:w="5564" w:type="pct"/>
        <w:tblInd w:w="-9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1551"/>
        <w:gridCol w:w="998"/>
        <w:gridCol w:w="1300"/>
        <w:gridCol w:w="1223"/>
        <w:gridCol w:w="1113"/>
        <w:gridCol w:w="1113"/>
        <w:gridCol w:w="1297"/>
      </w:tblGrid>
      <w:tr w:rsidR="0097083A" w:rsidRPr="002D2AFC" w:rsidTr="00BE4DD7">
        <w:trPr>
          <w:trHeight w:val="673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2D2AFC">
              <w:rPr>
                <w:rFonts w:ascii="Verdana" w:hAnsi="Verdana" w:cs="Arial"/>
                <w:b/>
                <w:sz w:val="22"/>
                <w:szCs w:val="22"/>
              </w:rPr>
              <w:t>Probability</w:t>
            </w:r>
          </w:p>
        </w:tc>
        <w:tc>
          <w:tcPr>
            <w:tcW w:w="53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083A" w:rsidRPr="002D2AFC" w:rsidTr="00BE4DD7">
        <w:trPr>
          <w:trHeight w:val="673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2AFC">
              <w:rPr>
                <w:rFonts w:ascii="Verdana" w:hAnsi="Verdana" w:cs="Arial"/>
                <w:sz w:val="20"/>
                <w:szCs w:val="20"/>
              </w:rPr>
              <w:t>Almost          Certain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2AFC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701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thinHorzStripe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5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thinVertStripe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thinVertStripe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thinDiagCross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20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thinDiagCross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25</w:t>
            </w:r>
          </w:p>
        </w:tc>
      </w:tr>
      <w:tr w:rsidR="0097083A" w:rsidRPr="002D2AFC" w:rsidTr="00BE4DD7">
        <w:trPr>
          <w:trHeight w:val="673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2AFC">
              <w:rPr>
                <w:rFonts w:ascii="Verdana" w:hAnsi="Verdana" w:cs="Arial"/>
                <w:sz w:val="20"/>
                <w:szCs w:val="20"/>
              </w:rPr>
              <w:t>Likely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2AFC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01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thinHorzStripe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4</w:t>
            </w:r>
          </w:p>
        </w:tc>
        <w:tc>
          <w:tcPr>
            <w:tcW w:w="659" w:type="pct"/>
            <w:tcBorders>
              <w:top w:val="nil"/>
              <w:left w:val="nil"/>
              <w:right w:val="nil"/>
            </w:tcBorders>
            <w:shd w:val="thinVertStripe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8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thinVertStripe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thinDiagCross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16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thinDiagCross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20</w:t>
            </w:r>
          </w:p>
        </w:tc>
      </w:tr>
      <w:tr w:rsidR="0097083A" w:rsidRPr="002D2AFC" w:rsidTr="00BE4DD7">
        <w:trPr>
          <w:trHeight w:val="673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2AFC">
              <w:rPr>
                <w:rFonts w:ascii="Verdana" w:hAnsi="Verdana" w:cs="Arial"/>
                <w:sz w:val="20"/>
                <w:szCs w:val="20"/>
              </w:rPr>
              <w:t>Possible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2AFC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01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thinHorzStripe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thinHorzStripe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thinVertStripe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9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thinDiagCross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12</w:t>
            </w:r>
          </w:p>
        </w:tc>
        <w:tc>
          <w:tcPr>
            <w:tcW w:w="699" w:type="pct"/>
            <w:tcBorders>
              <w:top w:val="nil"/>
              <w:left w:val="nil"/>
              <w:right w:val="nil"/>
            </w:tcBorders>
            <w:shd w:val="thinDiagCross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15</w:t>
            </w:r>
          </w:p>
        </w:tc>
      </w:tr>
      <w:tr w:rsidR="0097083A" w:rsidRPr="002D2AFC" w:rsidTr="00BE4DD7">
        <w:trPr>
          <w:trHeight w:val="673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2AFC">
              <w:rPr>
                <w:rFonts w:ascii="Verdana" w:hAnsi="Verdana" w:cs="Arial"/>
                <w:sz w:val="20"/>
                <w:szCs w:val="20"/>
              </w:rPr>
              <w:t>Unlikely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2AF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01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thinHorzStripe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2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thinHorzStripe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thinHorzStripe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thinVertStripe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8</w:t>
            </w:r>
          </w:p>
        </w:tc>
        <w:tc>
          <w:tcPr>
            <w:tcW w:w="699" w:type="pct"/>
            <w:tcBorders>
              <w:top w:val="nil"/>
              <w:left w:val="nil"/>
              <w:right w:val="nil"/>
            </w:tcBorders>
            <w:shd w:val="thinVertStripe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10</w:t>
            </w:r>
          </w:p>
        </w:tc>
      </w:tr>
      <w:tr w:rsidR="0097083A" w:rsidRPr="002D2AFC" w:rsidTr="00BE4DD7">
        <w:trPr>
          <w:trHeight w:val="673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2AFC">
              <w:rPr>
                <w:rFonts w:ascii="Verdana" w:hAnsi="Verdana" w:cs="Arial"/>
                <w:sz w:val="20"/>
                <w:szCs w:val="20"/>
              </w:rPr>
              <w:t>Rare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2AF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01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thinHorzStripe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thinHorzStripe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thinHorzStripe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thinHorzStripe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thinVertStripe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5</w:t>
            </w:r>
          </w:p>
        </w:tc>
      </w:tr>
      <w:tr w:rsidR="0097083A" w:rsidRPr="002D2AFC" w:rsidTr="00BE4DD7">
        <w:trPr>
          <w:trHeight w:val="27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2AF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659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2AF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2AFC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2AFC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699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2AFC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97083A" w:rsidRPr="002D2AFC" w:rsidTr="00BE4DD7">
        <w:trPr>
          <w:trHeight w:val="673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D2AFC">
              <w:rPr>
                <w:rFonts w:ascii="Verdana" w:hAnsi="Verdana" w:cs="Arial"/>
                <w:b/>
                <w:bCs/>
                <w:sz w:val="22"/>
                <w:szCs w:val="22"/>
              </w:rPr>
              <w:t>Impact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2D2AFC">
              <w:rPr>
                <w:rFonts w:ascii="Verdana" w:hAnsi="Verdana" w:cs="Arial"/>
                <w:sz w:val="18"/>
                <w:szCs w:val="20"/>
              </w:rPr>
              <w:t>Negligible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2D2AFC">
              <w:rPr>
                <w:rFonts w:ascii="Verdana" w:hAnsi="Verdana" w:cs="Arial"/>
                <w:sz w:val="18"/>
                <w:szCs w:val="20"/>
              </w:rPr>
              <w:t>Low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2D2AFC">
              <w:rPr>
                <w:rFonts w:ascii="Verdana" w:hAnsi="Verdana" w:cs="Arial"/>
                <w:sz w:val="18"/>
                <w:szCs w:val="20"/>
              </w:rPr>
              <w:t>Medium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2D2AFC">
              <w:rPr>
                <w:rFonts w:ascii="Verdana" w:hAnsi="Verdana" w:cs="Arial"/>
                <w:sz w:val="18"/>
                <w:szCs w:val="20"/>
              </w:rPr>
              <w:t>High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2D2AFC">
              <w:rPr>
                <w:rFonts w:ascii="Verdana" w:hAnsi="Verdana" w:cs="Arial"/>
                <w:sz w:val="18"/>
                <w:szCs w:val="20"/>
              </w:rPr>
              <w:t>Very High</w:t>
            </w:r>
          </w:p>
        </w:tc>
      </w:tr>
    </w:tbl>
    <w:p w:rsidR="0097083A" w:rsidRPr="002D2AFC" w:rsidRDefault="0097083A" w:rsidP="0097083A"/>
    <w:tbl>
      <w:tblPr>
        <w:tblStyle w:val="TableGrid"/>
        <w:tblpPr w:leftFromText="180" w:rightFromText="180" w:vertAnchor="text" w:horzAnchor="margin" w:tblpXSpec="right" w:tblpY="87"/>
        <w:tblW w:w="0" w:type="auto"/>
        <w:tblLook w:val="04A0" w:firstRow="1" w:lastRow="0" w:firstColumn="1" w:lastColumn="0" w:noHBand="0" w:noVBand="1"/>
      </w:tblPr>
      <w:tblGrid>
        <w:gridCol w:w="2150"/>
        <w:gridCol w:w="2158"/>
        <w:gridCol w:w="2111"/>
      </w:tblGrid>
      <w:tr w:rsidR="0097083A" w:rsidRPr="002D2AFC" w:rsidTr="00BE4DD7">
        <w:trPr>
          <w:trHeight w:val="277"/>
        </w:trPr>
        <w:tc>
          <w:tcPr>
            <w:tcW w:w="2150" w:type="dxa"/>
            <w:shd w:val="clear" w:color="auto" w:fill="00B050"/>
          </w:tcPr>
          <w:p w:rsidR="0097083A" w:rsidRPr="002D2AFC" w:rsidRDefault="0097083A" w:rsidP="00BE4DD7">
            <w:pPr>
              <w:jc w:val="center"/>
              <w:rPr>
                <w:b/>
                <w:color w:val="FFFFFF" w:themeColor="background1"/>
              </w:rPr>
            </w:pPr>
            <w:r w:rsidRPr="002D2AFC">
              <w:rPr>
                <w:b/>
                <w:color w:val="FFFFFF" w:themeColor="background1"/>
              </w:rPr>
              <w:t>Green</w:t>
            </w:r>
          </w:p>
        </w:tc>
        <w:tc>
          <w:tcPr>
            <w:tcW w:w="2158" w:type="dxa"/>
            <w:shd w:val="clear" w:color="auto" w:fill="FFC000"/>
          </w:tcPr>
          <w:p w:rsidR="0097083A" w:rsidRPr="002D2AFC" w:rsidRDefault="0097083A" w:rsidP="00BE4DD7">
            <w:pPr>
              <w:jc w:val="center"/>
              <w:rPr>
                <w:b/>
                <w:color w:val="FFFFFF" w:themeColor="background1"/>
              </w:rPr>
            </w:pPr>
            <w:r w:rsidRPr="002D2AFC">
              <w:rPr>
                <w:b/>
                <w:color w:val="FFFFFF" w:themeColor="background1"/>
              </w:rPr>
              <w:t>Amber</w:t>
            </w:r>
          </w:p>
        </w:tc>
        <w:tc>
          <w:tcPr>
            <w:tcW w:w="2111" w:type="dxa"/>
            <w:shd w:val="clear" w:color="auto" w:fill="FF0000"/>
          </w:tcPr>
          <w:p w:rsidR="0097083A" w:rsidRPr="002D2AFC" w:rsidRDefault="0097083A" w:rsidP="00BE4DD7">
            <w:pPr>
              <w:jc w:val="center"/>
              <w:rPr>
                <w:b/>
                <w:color w:val="FFFFFF" w:themeColor="background1"/>
              </w:rPr>
            </w:pPr>
            <w:r w:rsidRPr="002D2AFC">
              <w:rPr>
                <w:b/>
                <w:color w:val="FFFFFF" w:themeColor="background1"/>
              </w:rPr>
              <w:t>Red</w:t>
            </w:r>
          </w:p>
        </w:tc>
      </w:tr>
      <w:tr w:rsidR="0097083A" w:rsidRPr="002D2AFC" w:rsidTr="00BE4DD7">
        <w:trPr>
          <w:trHeight w:val="292"/>
        </w:trPr>
        <w:tc>
          <w:tcPr>
            <w:tcW w:w="2150" w:type="dxa"/>
            <w:shd w:val="thinHorzStripe" w:color="auto" w:fill="auto"/>
          </w:tcPr>
          <w:p w:rsidR="0097083A" w:rsidRPr="002D2AFC" w:rsidRDefault="0097083A" w:rsidP="00BE4DD7"/>
        </w:tc>
        <w:tc>
          <w:tcPr>
            <w:tcW w:w="2158" w:type="dxa"/>
            <w:shd w:val="thinVertStripe" w:color="auto" w:fill="auto"/>
          </w:tcPr>
          <w:p w:rsidR="0097083A" w:rsidRPr="002D2AFC" w:rsidRDefault="0097083A" w:rsidP="00BE4DD7"/>
        </w:tc>
        <w:tc>
          <w:tcPr>
            <w:tcW w:w="2111" w:type="dxa"/>
            <w:shd w:val="thinDiagCross" w:color="auto" w:fill="auto"/>
          </w:tcPr>
          <w:p w:rsidR="0097083A" w:rsidRPr="002D2AFC" w:rsidRDefault="0097083A" w:rsidP="00BE4DD7"/>
        </w:tc>
      </w:tr>
    </w:tbl>
    <w:p w:rsidR="0097083A" w:rsidRPr="002D2AFC" w:rsidRDefault="0097083A" w:rsidP="0097083A">
      <w:pPr>
        <w:rPr>
          <w:b/>
        </w:rPr>
      </w:pPr>
      <w:r w:rsidRPr="002D2AFC">
        <w:rPr>
          <w:b/>
        </w:rPr>
        <w:t>Key:</w:t>
      </w:r>
    </w:p>
    <w:p w:rsidR="0097083A" w:rsidRPr="002D2AFC" w:rsidRDefault="0097083A" w:rsidP="0097083A">
      <w:pPr>
        <w:ind w:left="1440" w:firstLine="720"/>
      </w:pPr>
    </w:p>
    <w:p w:rsidR="0097083A" w:rsidRDefault="0097083A" w:rsidP="0097083A">
      <w:pPr>
        <w:ind w:left="720"/>
        <w:rPr>
          <w:rFonts w:cs="Arial"/>
          <w:b/>
          <w:sz w:val="20"/>
          <w:szCs w:val="22"/>
        </w:rPr>
      </w:pPr>
    </w:p>
    <w:p w:rsidR="0097083A" w:rsidRPr="00D8666A" w:rsidRDefault="0097083A" w:rsidP="0097083A">
      <w:pPr>
        <w:ind w:left="720"/>
        <w:rPr>
          <w:rFonts w:cs="Arial"/>
        </w:rPr>
      </w:pPr>
    </w:p>
    <w:p w:rsidR="0097083A" w:rsidRPr="00D8666A" w:rsidRDefault="0097083A" w:rsidP="0097083A">
      <w:pPr>
        <w:rPr>
          <w:rFonts w:cs="Arial"/>
          <w:b/>
        </w:rPr>
      </w:pPr>
      <w:r w:rsidRPr="00D8666A">
        <w:rPr>
          <w:rFonts w:cs="Arial"/>
          <w:b/>
        </w:rPr>
        <w:t>Risk Identification</w:t>
      </w:r>
    </w:p>
    <w:p w:rsidR="0097083A" w:rsidRPr="00D8666A" w:rsidRDefault="0097083A" w:rsidP="0097083A">
      <w:pPr>
        <w:rPr>
          <w:rFonts w:cs="Arial"/>
          <w:b/>
        </w:rPr>
      </w:pPr>
    </w:p>
    <w:p w:rsidR="0097083A" w:rsidRPr="00D8666A" w:rsidRDefault="0097083A" w:rsidP="0097083A">
      <w:pPr>
        <w:numPr>
          <w:ilvl w:val="0"/>
          <w:numId w:val="2"/>
        </w:numPr>
        <w:jc w:val="both"/>
        <w:rPr>
          <w:rFonts w:cs="Arial"/>
          <w:b/>
        </w:rPr>
      </w:pPr>
      <w:r w:rsidRPr="00D8666A">
        <w:rPr>
          <w:rFonts w:cs="Arial"/>
          <w:b/>
        </w:rPr>
        <w:t xml:space="preserve">Corporate Risks – </w:t>
      </w:r>
      <w:r w:rsidRPr="00D8666A">
        <w:rPr>
          <w:rFonts w:cs="Arial"/>
        </w:rPr>
        <w:t xml:space="preserve">The Corporate Risk Register (CRR) is reviewed by the Corporate Management Team (CMT) on a quarterly basis, any new risks are incorporated into a revised version of the CRR.  Risk owners for corporate risks are generally held at Director </w:t>
      </w:r>
      <w:proofErr w:type="gramStart"/>
      <w:r w:rsidRPr="00D8666A">
        <w:rPr>
          <w:rFonts w:cs="Arial"/>
        </w:rPr>
        <w:t>level</w:t>
      </w:r>
      <w:proofErr w:type="gramEnd"/>
      <w:r w:rsidRPr="00D8666A">
        <w:rPr>
          <w:rFonts w:cs="Arial"/>
        </w:rPr>
        <w:t>.</w:t>
      </w:r>
    </w:p>
    <w:p w:rsidR="0097083A" w:rsidRPr="00D8666A" w:rsidRDefault="0097083A" w:rsidP="0097083A">
      <w:pPr>
        <w:ind w:left="360"/>
        <w:rPr>
          <w:rFonts w:cs="Arial"/>
          <w:b/>
        </w:rPr>
      </w:pPr>
    </w:p>
    <w:p w:rsidR="0097083A" w:rsidRPr="00D8666A" w:rsidRDefault="0097083A" w:rsidP="0097083A">
      <w:pPr>
        <w:numPr>
          <w:ilvl w:val="0"/>
          <w:numId w:val="2"/>
        </w:numPr>
        <w:jc w:val="both"/>
        <w:rPr>
          <w:rFonts w:cs="Arial"/>
          <w:b/>
        </w:rPr>
      </w:pPr>
      <w:r w:rsidRPr="00D8666A">
        <w:rPr>
          <w:rFonts w:cs="Arial"/>
          <w:b/>
        </w:rPr>
        <w:t xml:space="preserve">Service Risks – </w:t>
      </w:r>
      <w:r w:rsidRPr="00D8666A">
        <w:rPr>
          <w:rFonts w:cs="Arial"/>
        </w:rPr>
        <w:t>Service area risks are reviewed periodically by Heads of Service and Service Managers.  The Financial Accounting Manager has oversight of all risks and on a quarterly basis will review service risks to determine the need for inclusion in the Corporate Risk Register.</w:t>
      </w:r>
    </w:p>
    <w:p w:rsidR="0097083A" w:rsidRPr="00D8666A" w:rsidRDefault="0097083A" w:rsidP="0097083A">
      <w:pPr>
        <w:rPr>
          <w:rFonts w:cs="Arial"/>
          <w:b/>
        </w:rPr>
      </w:pPr>
    </w:p>
    <w:p w:rsidR="0097083A" w:rsidRPr="0097083A" w:rsidRDefault="0097083A" w:rsidP="0097083A">
      <w:pPr>
        <w:numPr>
          <w:ilvl w:val="0"/>
          <w:numId w:val="2"/>
        </w:numPr>
        <w:jc w:val="both"/>
        <w:rPr>
          <w:rFonts w:cs="Arial"/>
          <w:b/>
        </w:rPr>
      </w:pPr>
      <w:r w:rsidRPr="00D8666A">
        <w:rPr>
          <w:rFonts w:cs="Arial"/>
          <w:b/>
        </w:rPr>
        <w:t xml:space="preserve">Project and Programme Risk – </w:t>
      </w:r>
      <w:r w:rsidRPr="00D8666A">
        <w:rPr>
          <w:rFonts w:cs="Arial"/>
        </w:rPr>
        <w:t>The Council adopts the principles of Prince2 methodology for managing projects. Incorporated within this methodology is a robust process for the management of risk within a project environment.  Each project is managed by the Project Manager who controls and co-ordinates all aspects of the project through to conclusion.</w:t>
      </w:r>
    </w:p>
    <w:p w:rsidR="006646E8" w:rsidRDefault="006646E8">
      <w:pPr>
        <w:rPr>
          <w:rFonts w:cs="Arial"/>
          <w:b/>
        </w:rPr>
      </w:pPr>
    </w:p>
    <w:p w:rsidR="006646E8" w:rsidRDefault="001D4179">
      <w:pPr>
        <w:rPr>
          <w:rFonts w:cs="Arial"/>
          <w:b/>
        </w:rPr>
      </w:pPr>
      <w:r>
        <w:rPr>
          <w:rFonts w:cs="Arial"/>
          <w:b/>
        </w:rPr>
        <w:t xml:space="preserve">Quarter 3 </w:t>
      </w:r>
      <w:r w:rsidR="006646E8">
        <w:rPr>
          <w:rFonts w:cs="Arial"/>
          <w:b/>
        </w:rPr>
        <w:t>Corporate Risk Register</w:t>
      </w:r>
    </w:p>
    <w:p w:rsidR="006646E8" w:rsidRDefault="006646E8">
      <w:pPr>
        <w:rPr>
          <w:rFonts w:cs="Arial"/>
          <w:b/>
        </w:rPr>
      </w:pPr>
    </w:p>
    <w:p w:rsidR="006646E8" w:rsidRPr="008726C8" w:rsidRDefault="006646E8" w:rsidP="006646E8">
      <w:pPr>
        <w:pStyle w:val="ListParagraph"/>
        <w:numPr>
          <w:ilvl w:val="0"/>
          <w:numId w:val="2"/>
        </w:numPr>
        <w:jc w:val="both"/>
        <w:rPr>
          <w:rFonts w:cs="Arial"/>
          <w:b/>
        </w:rPr>
      </w:pPr>
      <w:r w:rsidRPr="008726C8">
        <w:rPr>
          <w:rFonts w:cs="Arial"/>
          <w:b/>
        </w:rPr>
        <w:t xml:space="preserve"> </w:t>
      </w:r>
      <w:r w:rsidR="008726C8" w:rsidRPr="008726C8">
        <w:rPr>
          <w:rFonts w:cs="Arial"/>
        </w:rPr>
        <w:t xml:space="preserve">The current Corporate Risk Register (Appendix A) shows that there are no red risks and the </w:t>
      </w:r>
      <w:proofErr w:type="gramStart"/>
      <w:r w:rsidR="003645B6">
        <w:rPr>
          <w:rFonts w:cs="Arial"/>
        </w:rPr>
        <w:t xml:space="preserve">number of red </w:t>
      </w:r>
      <w:r w:rsidR="008726C8" w:rsidRPr="008726C8">
        <w:rPr>
          <w:rFonts w:cs="Arial"/>
        </w:rPr>
        <w:t>risks have</w:t>
      </w:r>
      <w:proofErr w:type="gramEnd"/>
      <w:r w:rsidR="008726C8" w:rsidRPr="008726C8">
        <w:rPr>
          <w:rFonts w:cs="Arial"/>
        </w:rPr>
        <w:t xml:space="preserve"> remained at </w:t>
      </w:r>
      <w:r w:rsidR="003645B6">
        <w:rPr>
          <w:rFonts w:cs="Arial"/>
        </w:rPr>
        <w:t>zero</w:t>
      </w:r>
      <w:r w:rsidR="003645B6" w:rsidRPr="008726C8">
        <w:rPr>
          <w:rFonts w:cs="Arial"/>
        </w:rPr>
        <w:t xml:space="preserve"> </w:t>
      </w:r>
      <w:r w:rsidR="008726C8" w:rsidRPr="008726C8">
        <w:rPr>
          <w:rFonts w:cs="Arial"/>
        </w:rPr>
        <w:t xml:space="preserve">same since Q4 2014. The table below shows the movement of risks over the last 15 months. </w:t>
      </w:r>
    </w:p>
    <w:p w:rsidR="00C02A4A" w:rsidRDefault="00C02A4A" w:rsidP="006646E8">
      <w:pPr>
        <w:rPr>
          <w:rFonts w:cs="Arial"/>
          <w:b/>
        </w:rPr>
      </w:pPr>
    </w:p>
    <w:tbl>
      <w:tblPr>
        <w:tblW w:w="7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1134"/>
        <w:gridCol w:w="1134"/>
        <w:gridCol w:w="1134"/>
        <w:gridCol w:w="1134"/>
      </w:tblGrid>
      <w:tr w:rsidR="00C02A4A" w:rsidRPr="002B36CF" w:rsidTr="00C02A4A">
        <w:trPr>
          <w:trHeight w:val="240"/>
        </w:trPr>
        <w:tc>
          <w:tcPr>
            <w:tcW w:w="1809" w:type="dxa"/>
            <w:shd w:val="clear" w:color="auto" w:fill="auto"/>
            <w:noWrap/>
            <w:vAlign w:val="bottom"/>
          </w:tcPr>
          <w:p w:rsidR="00C02A4A" w:rsidRPr="002B36CF" w:rsidRDefault="00C02A4A" w:rsidP="00BE4DD7">
            <w:pPr>
              <w:rPr>
                <w:rFonts w:cs="Arial"/>
                <w:b/>
                <w:lang w:val="en-US"/>
              </w:rPr>
            </w:pPr>
            <w:r w:rsidRPr="002B36CF">
              <w:rPr>
                <w:rFonts w:cs="Arial"/>
                <w:b/>
                <w:lang w:val="en-US"/>
              </w:rPr>
              <w:t>Current Risk</w:t>
            </w:r>
          </w:p>
        </w:tc>
        <w:tc>
          <w:tcPr>
            <w:tcW w:w="1134" w:type="dxa"/>
          </w:tcPr>
          <w:p w:rsidR="00C02A4A" w:rsidRPr="002B36CF" w:rsidRDefault="00C02A4A" w:rsidP="00BE4DD7">
            <w:pPr>
              <w:jc w:val="right"/>
              <w:rPr>
                <w:rFonts w:cs="Arial"/>
                <w:b/>
                <w:lang w:val="en-US"/>
              </w:rPr>
            </w:pPr>
            <w:r w:rsidRPr="002B36CF">
              <w:rPr>
                <w:rFonts w:cs="Arial"/>
                <w:b/>
                <w:lang w:val="en-US"/>
              </w:rPr>
              <w:t>Q3</w:t>
            </w:r>
          </w:p>
          <w:p w:rsidR="00C02A4A" w:rsidRPr="002B36CF" w:rsidRDefault="00C02A4A" w:rsidP="00BE4DD7">
            <w:pPr>
              <w:jc w:val="right"/>
              <w:rPr>
                <w:rFonts w:cs="Arial"/>
                <w:b/>
                <w:lang w:val="en-US"/>
              </w:rPr>
            </w:pPr>
            <w:r w:rsidRPr="002B36CF">
              <w:rPr>
                <w:rFonts w:cs="Arial"/>
                <w:b/>
                <w:lang w:val="en-US"/>
              </w:rPr>
              <w:t>2013/14</w:t>
            </w:r>
          </w:p>
        </w:tc>
        <w:tc>
          <w:tcPr>
            <w:tcW w:w="1134" w:type="dxa"/>
          </w:tcPr>
          <w:p w:rsidR="00C02A4A" w:rsidRPr="002B36CF" w:rsidRDefault="00C02A4A" w:rsidP="00BE4DD7">
            <w:pPr>
              <w:jc w:val="right"/>
              <w:rPr>
                <w:rFonts w:cs="Arial"/>
                <w:b/>
                <w:lang w:val="en-US"/>
              </w:rPr>
            </w:pPr>
            <w:r w:rsidRPr="002B36CF">
              <w:rPr>
                <w:rFonts w:cs="Arial"/>
                <w:b/>
                <w:lang w:val="en-US"/>
              </w:rPr>
              <w:t>Q4</w:t>
            </w:r>
          </w:p>
          <w:p w:rsidR="00C02A4A" w:rsidRPr="002B36CF" w:rsidRDefault="00C02A4A" w:rsidP="00BE4DD7">
            <w:pPr>
              <w:jc w:val="right"/>
              <w:rPr>
                <w:rFonts w:cs="Arial"/>
                <w:b/>
                <w:lang w:val="en-US"/>
              </w:rPr>
            </w:pPr>
            <w:r w:rsidRPr="002B36CF">
              <w:rPr>
                <w:rFonts w:cs="Arial"/>
                <w:b/>
                <w:lang w:val="en-US"/>
              </w:rPr>
              <w:t>2013/14</w:t>
            </w:r>
          </w:p>
        </w:tc>
        <w:tc>
          <w:tcPr>
            <w:tcW w:w="1134" w:type="dxa"/>
          </w:tcPr>
          <w:p w:rsidR="00C02A4A" w:rsidRPr="002B36CF" w:rsidRDefault="00C02A4A" w:rsidP="00BE4DD7">
            <w:pPr>
              <w:jc w:val="right"/>
              <w:rPr>
                <w:rFonts w:cs="Arial"/>
                <w:b/>
                <w:lang w:val="en-US"/>
              </w:rPr>
            </w:pPr>
            <w:r w:rsidRPr="002B36CF">
              <w:rPr>
                <w:rFonts w:cs="Arial"/>
                <w:b/>
                <w:lang w:val="en-US"/>
              </w:rPr>
              <w:t>Q1</w:t>
            </w:r>
          </w:p>
          <w:p w:rsidR="00C02A4A" w:rsidRPr="002B36CF" w:rsidRDefault="00C02A4A" w:rsidP="00BE4DD7">
            <w:pPr>
              <w:jc w:val="right"/>
              <w:rPr>
                <w:rFonts w:cs="Arial"/>
                <w:b/>
                <w:lang w:val="en-US"/>
              </w:rPr>
            </w:pPr>
            <w:r w:rsidRPr="002B36CF">
              <w:rPr>
                <w:rFonts w:cs="Arial"/>
                <w:b/>
                <w:lang w:val="en-US"/>
              </w:rPr>
              <w:t>2014/15</w:t>
            </w:r>
          </w:p>
        </w:tc>
        <w:tc>
          <w:tcPr>
            <w:tcW w:w="1134" w:type="dxa"/>
          </w:tcPr>
          <w:p w:rsidR="00C02A4A" w:rsidRPr="002B36CF" w:rsidRDefault="00C02A4A" w:rsidP="00BE4DD7">
            <w:pPr>
              <w:jc w:val="right"/>
              <w:rPr>
                <w:rFonts w:cs="Arial"/>
                <w:b/>
                <w:lang w:val="en-US"/>
              </w:rPr>
            </w:pPr>
            <w:r w:rsidRPr="002B36CF">
              <w:rPr>
                <w:rFonts w:cs="Arial"/>
                <w:b/>
                <w:lang w:val="en-US"/>
              </w:rPr>
              <w:t>Q2 2014/15</w:t>
            </w:r>
          </w:p>
        </w:tc>
        <w:tc>
          <w:tcPr>
            <w:tcW w:w="1134" w:type="dxa"/>
            <w:shd w:val="clear" w:color="auto" w:fill="E0E0E0"/>
            <w:vAlign w:val="bottom"/>
          </w:tcPr>
          <w:p w:rsidR="00C02A4A" w:rsidRPr="002B36CF" w:rsidRDefault="00C02A4A" w:rsidP="00BE4DD7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Q3 2014/15</w:t>
            </w:r>
          </w:p>
        </w:tc>
      </w:tr>
      <w:tr w:rsidR="00C02A4A" w:rsidRPr="002B36CF" w:rsidTr="00C02A4A">
        <w:trPr>
          <w:trHeight w:val="240"/>
        </w:trPr>
        <w:tc>
          <w:tcPr>
            <w:tcW w:w="1809" w:type="dxa"/>
            <w:shd w:val="clear" w:color="auto" w:fill="auto"/>
            <w:noWrap/>
            <w:vAlign w:val="bottom"/>
          </w:tcPr>
          <w:p w:rsidR="00C02A4A" w:rsidRPr="002B36CF" w:rsidRDefault="00C02A4A" w:rsidP="00BE4DD7">
            <w:pPr>
              <w:rPr>
                <w:rFonts w:cs="Arial"/>
                <w:lang w:val="en-US"/>
              </w:rPr>
            </w:pPr>
            <w:r w:rsidRPr="002B36CF">
              <w:rPr>
                <w:rFonts w:cs="Arial"/>
                <w:lang w:val="en-US"/>
              </w:rPr>
              <w:t>Red</w:t>
            </w:r>
          </w:p>
        </w:tc>
        <w:tc>
          <w:tcPr>
            <w:tcW w:w="1134" w:type="dxa"/>
          </w:tcPr>
          <w:p w:rsidR="00C02A4A" w:rsidRPr="002B36CF" w:rsidRDefault="00C02A4A" w:rsidP="00BE4DD7">
            <w:pPr>
              <w:jc w:val="right"/>
              <w:rPr>
                <w:rFonts w:cs="Arial"/>
                <w:lang w:val="en-US"/>
              </w:rPr>
            </w:pPr>
            <w:r w:rsidRPr="002B36CF">
              <w:rPr>
                <w:rFonts w:cs="Arial"/>
                <w:lang w:val="en-US"/>
              </w:rPr>
              <w:t>0</w:t>
            </w:r>
          </w:p>
        </w:tc>
        <w:tc>
          <w:tcPr>
            <w:tcW w:w="1134" w:type="dxa"/>
          </w:tcPr>
          <w:p w:rsidR="00C02A4A" w:rsidRPr="002B36CF" w:rsidRDefault="00C02A4A" w:rsidP="00BE4DD7">
            <w:pPr>
              <w:jc w:val="right"/>
              <w:rPr>
                <w:rFonts w:cs="Arial"/>
                <w:lang w:val="en-US"/>
              </w:rPr>
            </w:pPr>
            <w:r w:rsidRPr="002B36CF">
              <w:rPr>
                <w:rFonts w:cs="Arial"/>
                <w:lang w:val="en-US"/>
              </w:rPr>
              <w:t>0</w:t>
            </w:r>
          </w:p>
        </w:tc>
        <w:tc>
          <w:tcPr>
            <w:tcW w:w="1134" w:type="dxa"/>
          </w:tcPr>
          <w:p w:rsidR="00C02A4A" w:rsidRPr="002B36CF" w:rsidRDefault="00C02A4A" w:rsidP="00BE4DD7">
            <w:pPr>
              <w:jc w:val="right"/>
              <w:rPr>
                <w:rFonts w:cs="Arial"/>
                <w:lang w:val="en-US"/>
              </w:rPr>
            </w:pPr>
            <w:r w:rsidRPr="002B36CF">
              <w:rPr>
                <w:rFonts w:cs="Arial"/>
                <w:lang w:val="en-US"/>
              </w:rPr>
              <w:t>0</w:t>
            </w:r>
          </w:p>
        </w:tc>
        <w:tc>
          <w:tcPr>
            <w:tcW w:w="1134" w:type="dxa"/>
          </w:tcPr>
          <w:p w:rsidR="00C02A4A" w:rsidRPr="002B36CF" w:rsidRDefault="00C02A4A" w:rsidP="00BE4DD7">
            <w:pPr>
              <w:jc w:val="right"/>
              <w:rPr>
                <w:rFonts w:cs="Arial"/>
                <w:lang w:val="en-US"/>
              </w:rPr>
            </w:pPr>
            <w:r w:rsidRPr="002B36CF">
              <w:rPr>
                <w:rFonts w:cs="Arial"/>
                <w:lang w:val="en-US"/>
              </w:rPr>
              <w:t>0</w:t>
            </w:r>
          </w:p>
        </w:tc>
        <w:tc>
          <w:tcPr>
            <w:tcW w:w="1134" w:type="dxa"/>
          </w:tcPr>
          <w:p w:rsidR="00C02A4A" w:rsidRPr="00CE3524" w:rsidRDefault="007D051C" w:rsidP="00BE4DD7">
            <w:pPr>
              <w:jc w:val="right"/>
              <w:rPr>
                <w:rFonts w:cs="Arial"/>
                <w:lang w:val="en-US"/>
              </w:rPr>
            </w:pPr>
            <w:r w:rsidRPr="00CE3524">
              <w:rPr>
                <w:rFonts w:cs="Arial"/>
                <w:lang w:val="en-US"/>
              </w:rPr>
              <w:t>0</w:t>
            </w:r>
          </w:p>
        </w:tc>
      </w:tr>
      <w:tr w:rsidR="00C02A4A" w:rsidRPr="002B36CF" w:rsidTr="00C02A4A">
        <w:trPr>
          <w:trHeight w:val="240"/>
        </w:trPr>
        <w:tc>
          <w:tcPr>
            <w:tcW w:w="1809" w:type="dxa"/>
            <w:shd w:val="clear" w:color="auto" w:fill="auto"/>
            <w:noWrap/>
            <w:vAlign w:val="bottom"/>
          </w:tcPr>
          <w:p w:rsidR="00C02A4A" w:rsidRPr="002B36CF" w:rsidRDefault="00C02A4A" w:rsidP="00BE4DD7">
            <w:pPr>
              <w:rPr>
                <w:rFonts w:cs="Arial"/>
                <w:lang w:val="en-US"/>
              </w:rPr>
            </w:pPr>
            <w:r w:rsidRPr="002B36CF">
              <w:rPr>
                <w:rFonts w:cs="Arial"/>
                <w:lang w:val="en-US"/>
              </w:rPr>
              <w:t xml:space="preserve">Amber </w:t>
            </w:r>
          </w:p>
        </w:tc>
        <w:tc>
          <w:tcPr>
            <w:tcW w:w="1134" w:type="dxa"/>
          </w:tcPr>
          <w:p w:rsidR="00C02A4A" w:rsidRPr="002B36CF" w:rsidRDefault="00C02A4A" w:rsidP="00BE4DD7">
            <w:pPr>
              <w:jc w:val="right"/>
              <w:rPr>
                <w:rFonts w:cs="Arial"/>
                <w:lang w:val="en-US"/>
              </w:rPr>
            </w:pPr>
            <w:r w:rsidRPr="002B36CF">
              <w:rPr>
                <w:rFonts w:cs="Arial"/>
                <w:lang w:val="en-US"/>
              </w:rPr>
              <w:t>9</w:t>
            </w:r>
          </w:p>
        </w:tc>
        <w:tc>
          <w:tcPr>
            <w:tcW w:w="1134" w:type="dxa"/>
          </w:tcPr>
          <w:p w:rsidR="00C02A4A" w:rsidRPr="002B36CF" w:rsidRDefault="00C02A4A" w:rsidP="00BE4DD7">
            <w:pPr>
              <w:jc w:val="right"/>
              <w:rPr>
                <w:rFonts w:cs="Arial"/>
                <w:lang w:val="en-US"/>
              </w:rPr>
            </w:pPr>
            <w:r w:rsidRPr="002B36CF">
              <w:rPr>
                <w:rFonts w:cs="Arial"/>
                <w:lang w:val="en-US"/>
              </w:rPr>
              <w:t>5</w:t>
            </w:r>
          </w:p>
        </w:tc>
        <w:tc>
          <w:tcPr>
            <w:tcW w:w="1134" w:type="dxa"/>
          </w:tcPr>
          <w:p w:rsidR="00C02A4A" w:rsidRPr="002B36CF" w:rsidRDefault="00C02A4A" w:rsidP="00BE4DD7">
            <w:pPr>
              <w:jc w:val="right"/>
              <w:rPr>
                <w:rFonts w:cs="Arial"/>
                <w:lang w:val="en-US"/>
              </w:rPr>
            </w:pPr>
            <w:r w:rsidRPr="002B36CF">
              <w:rPr>
                <w:rFonts w:cs="Arial"/>
                <w:lang w:val="en-US"/>
              </w:rPr>
              <w:t>5</w:t>
            </w:r>
          </w:p>
        </w:tc>
        <w:tc>
          <w:tcPr>
            <w:tcW w:w="1134" w:type="dxa"/>
          </w:tcPr>
          <w:p w:rsidR="00C02A4A" w:rsidRPr="002B36CF" w:rsidRDefault="00C02A4A" w:rsidP="00BE4DD7">
            <w:pPr>
              <w:jc w:val="right"/>
              <w:rPr>
                <w:rFonts w:cs="Arial"/>
                <w:lang w:val="en-US"/>
              </w:rPr>
            </w:pPr>
            <w:r w:rsidRPr="002B36CF">
              <w:rPr>
                <w:rFonts w:cs="Arial"/>
                <w:lang w:val="en-US"/>
              </w:rPr>
              <w:t>5</w:t>
            </w:r>
          </w:p>
        </w:tc>
        <w:tc>
          <w:tcPr>
            <w:tcW w:w="1134" w:type="dxa"/>
          </w:tcPr>
          <w:p w:rsidR="00C02A4A" w:rsidRPr="00CE3524" w:rsidRDefault="007D051C" w:rsidP="00BE4DD7">
            <w:pPr>
              <w:jc w:val="right"/>
              <w:rPr>
                <w:rFonts w:cs="Arial"/>
                <w:lang w:val="en-US"/>
              </w:rPr>
            </w:pPr>
            <w:r w:rsidRPr="00CE3524">
              <w:rPr>
                <w:rFonts w:cs="Arial"/>
                <w:lang w:val="en-US"/>
              </w:rPr>
              <w:t>6</w:t>
            </w:r>
          </w:p>
        </w:tc>
      </w:tr>
      <w:tr w:rsidR="00C02A4A" w:rsidRPr="002B36CF" w:rsidTr="00C02A4A">
        <w:trPr>
          <w:trHeight w:val="240"/>
        </w:trPr>
        <w:tc>
          <w:tcPr>
            <w:tcW w:w="1809" w:type="dxa"/>
            <w:shd w:val="clear" w:color="auto" w:fill="auto"/>
            <w:noWrap/>
            <w:vAlign w:val="bottom"/>
          </w:tcPr>
          <w:p w:rsidR="00C02A4A" w:rsidRPr="002B36CF" w:rsidRDefault="00C02A4A" w:rsidP="00BE4DD7">
            <w:pPr>
              <w:rPr>
                <w:rFonts w:cs="Arial"/>
                <w:lang w:val="en-US"/>
              </w:rPr>
            </w:pPr>
            <w:r w:rsidRPr="002B36CF">
              <w:rPr>
                <w:rFonts w:cs="Arial"/>
                <w:lang w:val="en-US"/>
              </w:rPr>
              <w:t>Green</w:t>
            </w:r>
          </w:p>
        </w:tc>
        <w:tc>
          <w:tcPr>
            <w:tcW w:w="1134" w:type="dxa"/>
          </w:tcPr>
          <w:p w:rsidR="00C02A4A" w:rsidRPr="002B36CF" w:rsidRDefault="00C02A4A" w:rsidP="00BE4DD7">
            <w:pPr>
              <w:jc w:val="right"/>
              <w:rPr>
                <w:rFonts w:cs="Arial"/>
                <w:lang w:val="en-US"/>
              </w:rPr>
            </w:pPr>
            <w:r w:rsidRPr="002B36CF">
              <w:rPr>
                <w:rFonts w:cs="Arial"/>
                <w:lang w:val="en-US"/>
              </w:rPr>
              <w:t>2</w:t>
            </w:r>
          </w:p>
        </w:tc>
        <w:tc>
          <w:tcPr>
            <w:tcW w:w="1134" w:type="dxa"/>
          </w:tcPr>
          <w:p w:rsidR="00C02A4A" w:rsidRPr="002B36CF" w:rsidRDefault="00C02A4A" w:rsidP="00BE4DD7">
            <w:pPr>
              <w:jc w:val="right"/>
              <w:rPr>
                <w:rFonts w:cs="Arial"/>
                <w:lang w:val="en-US"/>
              </w:rPr>
            </w:pPr>
            <w:r w:rsidRPr="002B36CF">
              <w:rPr>
                <w:rFonts w:cs="Arial"/>
                <w:lang w:val="en-US"/>
              </w:rPr>
              <w:t>6</w:t>
            </w:r>
          </w:p>
        </w:tc>
        <w:tc>
          <w:tcPr>
            <w:tcW w:w="1134" w:type="dxa"/>
          </w:tcPr>
          <w:p w:rsidR="00C02A4A" w:rsidRPr="002B36CF" w:rsidRDefault="00C02A4A" w:rsidP="00BE4DD7">
            <w:pPr>
              <w:jc w:val="right"/>
              <w:rPr>
                <w:rFonts w:cs="Arial"/>
                <w:lang w:val="en-US"/>
              </w:rPr>
            </w:pPr>
            <w:r w:rsidRPr="002B36CF">
              <w:rPr>
                <w:rFonts w:cs="Arial"/>
                <w:lang w:val="en-US"/>
              </w:rPr>
              <w:t>6</w:t>
            </w:r>
          </w:p>
        </w:tc>
        <w:tc>
          <w:tcPr>
            <w:tcW w:w="1134" w:type="dxa"/>
          </w:tcPr>
          <w:p w:rsidR="00C02A4A" w:rsidRPr="002B36CF" w:rsidRDefault="00C02A4A" w:rsidP="00BE4DD7">
            <w:pPr>
              <w:jc w:val="right"/>
              <w:rPr>
                <w:rFonts w:cs="Arial"/>
                <w:lang w:val="en-US"/>
              </w:rPr>
            </w:pPr>
            <w:r w:rsidRPr="002B36CF">
              <w:rPr>
                <w:rFonts w:cs="Arial"/>
                <w:lang w:val="en-US"/>
              </w:rPr>
              <w:t>6</w:t>
            </w:r>
          </w:p>
        </w:tc>
        <w:tc>
          <w:tcPr>
            <w:tcW w:w="1134" w:type="dxa"/>
          </w:tcPr>
          <w:p w:rsidR="00C02A4A" w:rsidRPr="00CE3524" w:rsidRDefault="008B43DA" w:rsidP="00BE4DD7">
            <w:pPr>
              <w:jc w:val="right"/>
              <w:rPr>
                <w:rFonts w:cs="Arial"/>
                <w:lang w:val="en-US"/>
              </w:rPr>
            </w:pPr>
            <w:r w:rsidRPr="00CE3524">
              <w:rPr>
                <w:rFonts w:cs="Arial"/>
                <w:lang w:val="en-US"/>
              </w:rPr>
              <w:t>5</w:t>
            </w:r>
          </w:p>
        </w:tc>
      </w:tr>
      <w:tr w:rsidR="00C02A4A" w:rsidRPr="002B36CF" w:rsidTr="00C02A4A">
        <w:trPr>
          <w:trHeight w:val="187"/>
        </w:trPr>
        <w:tc>
          <w:tcPr>
            <w:tcW w:w="1809" w:type="dxa"/>
            <w:tcBorders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C02A4A" w:rsidRPr="002B36CF" w:rsidRDefault="00C02A4A" w:rsidP="00BE4DD7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C02A4A" w:rsidRPr="002B36CF" w:rsidRDefault="00C02A4A" w:rsidP="00BE4DD7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C02A4A" w:rsidRPr="002B36CF" w:rsidRDefault="00C02A4A" w:rsidP="00BE4DD7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C02A4A" w:rsidRPr="002B36CF" w:rsidRDefault="00C02A4A" w:rsidP="00BE4DD7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C02A4A" w:rsidRPr="002B36CF" w:rsidRDefault="00C02A4A" w:rsidP="00BE4DD7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C02A4A" w:rsidRPr="002B36CF" w:rsidRDefault="00C02A4A" w:rsidP="00BE4DD7">
            <w:pPr>
              <w:jc w:val="right"/>
              <w:rPr>
                <w:rFonts w:cs="Arial"/>
                <w:lang w:val="en-US"/>
              </w:rPr>
            </w:pPr>
          </w:p>
        </w:tc>
      </w:tr>
      <w:tr w:rsidR="00C02A4A" w:rsidRPr="002B36CF" w:rsidTr="00C02A4A">
        <w:trPr>
          <w:trHeight w:val="240"/>
        </w:trPr>
        <w:tc>
          <w:tcPr>
            <w:tcW w:w="1809" w:type="dxa"/>
            <w:shd w:val="clear" w:color="auto" w:fill="E0E0E0"/>
            <w:noWrap/>
            <w:vAlign w:val="bottom"/>
          </w:tcPr>
          <w:p w:rsidR="00C02A4A" w:rsidRPr="002B36CF" w:rsidRDefault="00C02A4A" w:rsidP="00BE4DD7">
            <w:pPr>
              <w:rPr>
                <w:rFonts w:cs="Arial"/>
                <w:b/>
                <w:lang w:val="en-US"/>
              </w:rPr>
            </w:pPr>
            <w:r w:rsidRPr="002B36CF">
              <w:rPr>
                <w:rFonts w:cs="Arial"/>
                <w:b/>
                <w:lang w:val="en-US"/>
              </w:rPr>
              <w:t>Total risks</w:t>
            </w:r>
          </w:p>
        </w:tc>
        <w:tc>
          <w:tcPr>
            <w:tcW w:w="1134" w:type="dxa"/>
            <w:shd w:val="clear" w:color="auto" w:fill="E0E0E0"/>
          </w:tcPr>
          <w:p w:rsidR="00C02A4A" w:rsidRPr="002B36CF" w:rsidRDefault="00C02A4A" w:rsidP="00BE4DD7">
            <w:pPr>
              <w:jc w:val="right"/>
              <w:rPr>
                <w:rFonts w:cs="Arial"/>
                <w:b/>
                <w:lang w:val="en-US"/>
              </w:rPr>
            </w:pPr>
            <w:r w:rsidRPr="002B36CF">
              <w:rPr>
                <w:rFonts w:cs="Arial"/>
                <w:b/>
                <w:lang w:val="en-US"/>
              </w:rPr>
              <w:t>11</w:t>
            </w:r>
          </w:p>
        </w:tc>
        <w:tc>
          <w:tcPr>
            <w:tcW w:w="1134" w:type="dxa"/>
            <w:shd w:val="clear" w:color="auto" w:fill="E0E0E0"/>
          </w:tcPr>
          <w:p w:rsidR="00C02A4A" w:rsidRPr="002B36CF" w:rsidRDefault="00C02A4A" w:rsidP="00BE4DD7">
            <w:pPr>
              <w:jc w:val="right"/>
              <w:rPr>
                <w:rFonts w:cs="Arial"/>
                <w:b/>
                <w:lang w:val="en-US"/>
              </w:rPr>
            </w:pPr>
            <w:r w:rsidRPr="002B36CF">
              <w:rPr>
                <w:rFonts w:cs="Arial"/>
                <w:b/>
                <w:lang w:val="en-US"/>
              </w:rPr>
              <w:t>11</w:t>
            </w:r>
          </w:p>
        </w:tc>
        <w:tc>
          <w:tcPr>
            <w:tcW w:w="1134" w:type="dxa"/>
            <w:shd w:val="clear" w:color="auto" w:fill="E0E0E0"/>
          </w:tcPr>
          <w:p w:rsidR="00C02A4A" w:rsidRPr="002B36CF" w:rsidRDefault="00C02A4A" w:rsidP="00BE4DD7">
            <w:pPr>
              <w:jc w:val="right"/>
              <w:rPr>
                <w:rFonts w:cs="Arial"/>
                <w:b/>
                <w:lang w:val="en-US"/>
              </w:rPr>
            </w:pPr>
            <w:r w:rsidRPr="002B36CF">
              <w:rPr>
                <w:rFonts w:cs="Arial"/>
                <w:b/>
                <w:lang w:val="en-US"/>
              </w:rPr>
              <w:t>11</w:t>
            </w:r>
          </w:p>
        </w:tc>
        <w:tc>
          <w:tcPr>
            <w:tcW w:w="1134" w:type="dxa"/>
            <w:shd w:val="clear" w:color="auto" w:fill="E0E0E0"/>
          </w:tcPr>
          <w:p w:rsidR="00C02A4A" w:rsidRPr="002B36CF" w:rsidRDefault="00C02A4A" w:rsidP="00BE4DD7">
            <w:pPr>
              <w:jc w:val="right"/>
              <w:rPr>
                <w:rFonts w:cs="Arial"/>
                <w:b/>
                <w:lang w:val="en-US"/>
              </w:rPr>
            </w:pPr>
            <w:r w:rsidRPr="002B36CF">
              <w:rPr>
                <w:rFonts w:cs="Arial"/>
                <w:b/>
                <w:lang w:val="en-US"/>
              </w:rPr>
              <w:t>11</w:t>
            </w:r>
          </w:p>
        </w:tc>
        <w:tc>
          <w:tcPr>
            <w:tcW w:w="1134" w:type="dxa"/>
            <w:shd w:val="clear" w:color="auto" w:fill="E0E0E0"/>
          </w:tcPr>
          <w:p w:rsidR="00C02A4A" w:rsidRPr="002B36CF" w:rsidRDefault="008B43DA" w:rsidP="00BE4DD7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11</w:t>
            </w:r>
          </w:p>
        </w:tc>
      </w:tr>
    </w:tbl>
    <w:p w:rsidR="00C02A4A" w:rsidRDefault="00C02A4A" w:rsidP="006646E8">
      <w:pPr>
        <w:rPr>
          <w:rFonts w:cs="Arial"/>
          <w:b/>
        </w:rPr>
      </w:pPr>
    </w:p>
    <w:p w:rsidR="004A2CEC" w:rsidRDefault="004A2CEC" w:rsidP="004A2CEC">
      <w:pPr>
        <w:pStyle w:val="ListParagraph"/>
        <w:ind w:left="927"/>
        <w:rPr>
          <w:rFonts w:cs="Arial"/>
          <w:b/>
        </w:rPr>
      </w:pPr>
    </w:p>
    <w:p w:rsidR="004A2CEC" w:rsidRDefault="00434C73" w:rsidP="004A2CEC">
      <w:pPr>
        <w:pStyle w:val="ListParagraph"/>
        <w:ind w:left="927"/>
        <w:rPr>
          <w:rFonts w:cs="Arial"/>
          <w:b/>
        </w:rPr>
      </w:pPr>
      <w:r>
        <w:rPr>
          <w:rFonts w:cs="Arial"/>
          <w:b/>
        </w:rPr>
        <w:t xml:space="preserve"> Corporate Risk Summary</w:t>
      </w:r>
    </w:p>
    <w:p w:rsidR="00434C73" w:rsidRDefault="00434C73" w:rsidP="004A2CEC">
      <w:pPr>
        <w:pStyle w:val="ListParagraph"/>
        <w:ind w:left="927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4A2CEC" w:rsidRDefault="004A2CEC" w:rsidP="004A2CEC">
      <w:pPr>
        <w:pStyle w:val="ListParagraph"/>
        <w:numPr>
          <w:ilvl w:val="0"/>
          <w:numId w:val="2"/>
        </w:numPr>
        <w:rPr>
          <w:rFonts w:cs="Arial"/>
        </w:rPr>
      </w:pPr>
      <w:r w:rsidRPr="000B6C62">
        <w:rPr>
          <w:rFonts w:cs="Arial"/>
        </w:rPr>
        <w:t xml:space="preserve">The table below shows </w:t>
      </w:r>
      <w:r>
        <w:rPr>
          <w:rFonts w:cs="Arial"/>
        </w:rPr>
        <w:t xml:space="preserve">the how the </w:t>
      </w:r>
      <w:r w:rsidR="003C2714">
        <w:rPr>
          <w:rFonts w:cs="Arial"/>
        </w:rPr>
        <w:t>corporate</w:t>
      </w:r>
      <w:r>
        <w:rPr>
          <w:rFonts w:cs="Arial"/>
        </w:rPr>
        <w:t xml:space="preserve"> risks have been scored in accordance to the risk matrix.</w:t>
      </w:r>
    </w:p>
    <w:p w:rsidR="00434C73" w:rsidRDefault="00434C73" w:rsidP="006646E8">
      <w:pPr>
        <w:rPr>
          <w:rFonts w:cs="Arial"/>
          <w:b/>
        </w:rPr>
      </w:pPr>
      <w:r>
        <w:rPr>
          <w:rFonts w:cs="Arial"/>
          <w:b/>
          <w:noProof/>
          <w:lang w:eastAsia="en-GB"/>
        </w:rPr>
        <w:drawing>
          <wp:inline distT="0" distB="0" distL="0" distR="0">
            <wp:extent cx="5273675" cy="14351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8D" w:rsidRDefault="00657A8D" w:rsidP="006646E8">
      <w:pPr>
        <w:rPr>
          <w:rFonts w:cs="Arial"/>
          <w:b/>
        </w:rPr>
      </w:pPr>
    </w:p>
    <w:p w:rsidR="00C95027" w:rsidRDefault="001D4179" w:rsidP="006646E8">
      <w:pPr>
        <w:rPr>
          <w:rFonts w:cs="Arial"/>
          <w:b/>
        </w:rPr>
      </w:pPr>
      <w:r>
        <w:rPr>
          <w:rFonts w:cs="Arial"/>
          <w:b/>
        </w:rPr>
        <w:t xml:space="preserve">Quarter 3 </w:t>
      </w:r>
      <w:r w:rsidR="00C95027">
        <w:rPr>
          <w:rFonts w:cs="Arial"/>
          <w:b/>
        </w:rPr>
        <w:t xml:space="preserve">Service Risk Register </w:t>
      </w:r>
    </w:p>
    <w:p w:rsidR="001E557E" w:rsidRDefault="001E557E" w:rsidP="001E557E">
      <w:pPr>
        <w:ind w:left="567"/>
        <w:jc w:val="both"/>
        <w:rPr>
          <w:rFonts w:cs="Arial"/>
        </w:rPr>
      </w:pPr>
    </w:p>
    <w:p w:rsidR="001E557E" w:rsidRDefault="001E557E" w:rsidP="008726C8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8726C8">
        <w:rPr>
          <w:rFonts w:cs="Arial"/>
        </w:rPr>
        <w:t xml:space="preserve">The table below shows the number of current risks for Q3 2014/15 compared with </w:t>
      </w:r>
      <w:r w:rsidR="0020405A">
        <w:rPr>
          <w:rFonts w:cs="Arial"/>
        </w:rPr>
        <w:t>the last 15 months</w:t>
      </w:r>
      <w:r w:rsidR="00110C9E">
        <w:rPr>
          <w:rFonts w:cs="Arial"/>
        </w:rPr>
        <w:t>. Four risks have been closed since the last quarter.</w:t>
      </w:r>
      <w:r w:rsidR="0020405A">
        <w:rPr>
          <w:rFonts w:cs="Arial"/>
        </w:rPr>
        <w:t xml:space="preserve">  </w:t>
      </w:r>
    </w:p>
    <w:p w:rsidR="00434C73" w:rsidRDefault="00434C73" w:rsidP="00434C73">
      <w:pPr>
        <w:jc w:val="both"/>
        <w:rPr>
          <w:rFonts w:cs="Arial"/>
        </w:rPr>
      </w:pPr>
    </w:p>
    <w:p w:rsidR="001E557E" w:rsidRDefault="001E557E" w:rsidP="001E557E">
      <w:pPr>
        <w:jc w:val="both"/>
        <w:rPr>
          <w:rFonts w:cs="Arial"/>
        </w:rPr>
      </w:pPr>
    </w:p>
    <w:tbl>
      <w:tblPr>
        <w:tblW w:w="719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778"/>
        <w:gridCol w:w="1084"/>
        <w:gridCol w:w="1084"/>
        <w:gridCol w:w="1084"/>
        <w:gridCol w:w="1084"/>
        <w:gridCol w:w="1084"/>
      </w:tblGrid>
      <w:tr w:rsidR="001E557E" w:rsidRPr="00D8666A" w:rsidTr="001E557E">
        <w:trPr>
          <w:trHeight w:val="240"/>
        </w:trPr>
        <w:tc>
          <w:tcPr>
            <w:tcW w:w="1778" w:type="dxa"/>
            <w:shd w:val="clear" w:color="auto" w:fill="auto"/>
            <w:noWrap/>
            <w:vAlign w:val="bottom"/>
          </w:tcPr>
          <w:p w:rsidR="001E557E" w:rsidRPr="00D8666A" w:rsidRDefault="001E557E" w:rsidP="00BE4DD7">
            <w:pPr>
              <w:rPr>
                <w:rFonts w:cs="Arial"/>
                <w:b/>
                <w:lang w:val="en-US"/>
              </w:rPr>
            </w:pPr>
            <w:r w:rsidRPr="00D8666A">
              <w:rPr>
                <w:rFonts w:cs="Arial"/>
                <w:b/>
                <w:lang w:val="en-US"/>
              </w:rPr>
              <w:t>Current Risk</w:t>
            </w:r>
          </w:p>
        </w:tc>
        <w:tc>
          <w:tcPr>
            <w:tcW w:w="1084" w:type="dxa"/>
          </w:tcPr>
          <w:p w:rsidR="001E557E" w:rsidRPr="00D8666A" w:rsidRDefault="001E557E" w:rsidP="00BE4DD7">
            <w:pPr>
              <w:jc w:val="right"/>
              <w:rPr>
                <w:rFonts w:cs="Arial"/>
                <w:b/>
                <w:lang w:val="en-US"/>
              </w:rPr>
            </w:pPr>
            <w:r w:rsidRPr="00D8666A">
              <w:rPr>
                <w:rFonts w:cs="Arial"/>
                <w:b/>
                <w:lang w:val="en-US"/>
              </w:rPr>
              <w:t>Q3</w:t>
            </w:r>
          </w:p>
          <w:p w:rsidR="001E557E" w:rsidRPr="00D8666A" w:rsidRDefault="001E557E" w:rsidP="00BE4DD7">
            <w:pPr>
              <w:jc w:val="right"/>
              <w:rPr>
                <w:rFonts w:cs="Arial"/>
                <w:b/>
                <w:lang w:val="en-US"/>
              </w:rPr>
            </w:pPr>
            <w:r w:rsidRPr="00D8666A">
              <w:rPr>
                <w:rFonts w:cs="Arial"/>
                <w:b/>
                <w:lang w:val="en-US"/>
              </w:rPr>
              <w:t>2013/14</w:t>
            </w:r>
          </w:p>
        </w:tc>
        <w:tc>
          <w:tcPr>
            <w:tcW w:w="1084" w:type="dxa"/>
          </w:tcPr>
          <w:p w:rsidR="001E557E" w:rsidRPr="00D8666A" w:rsidRDefault="001E557E" w:rsidP="00BE4DD7">
            <w:pPr>
              <w:jc w:val="right"/>
              <w:rPr>
                <w:rFonts w:cs="Arial"/>
                <w:b/>
                <w:lang w:val="en-US"/>
              </w:rPr>
            </w:pPr>
            <w:r w:rsidRPr="00D8666A">
              <w:rPr>
                <w:rFonts w:cs="Arial"/>
                <w:b/>
                <w:lang w:val="en-US"/>
              </w:rPr>
              <w:t>Q4</w:t>
            </w:r>
          </w:p>
          <w:p w:rsidR="001E557E" w:rsidRPr="00D8666A" w:rsidRDefault="001E557E" w:rsidP="00BE4DD7">
            <w:pPr>
              <w:jc w:val="right"/>
              <w:rPr>
                <w:rFonts w:cs="Arial"/>
                <w:b/>
                <w:lang w:val="en-US"/>
              </w:rPr>
            </w:pPr>
            <w:r w:rsidRPr="00D8666A">
              <w:rPr>
                <w:rFonts w:cs="Arial"/>
                <w:b/>
                <w:lang w:val="en-US"/>
              </w:rPr>
              <w:t>2013/14</w:t>
            </w:r>
          </w:p>
        </w:tc>
        <w:tc>
          <w:tcPr>
            <w:tcW w:w="1084" w:type="dxa"/>
          </w:tcPr>
          <w:p w:rsidR="001E557E" w:rsidRPr="00D8666A" w:rsidRDefault="001E557E" w:rsidP="001E557E">
            <w:pPr>
              <w:jc w:val="right"/>
              <w:rPr>
                <w:rFonts w:cs="Arial"/>
                <w:b/>
                <w:lang w:val="en-US"/>
              </w:rPr>
            </w:pPr>
            <w:r w:rsidRPr="00D8666A">
              <w:rPr>
                <w:rFonts w:cs="Arial"/>
                <w:b/>
                <w:lang w:val="en-US"/>
              </w:rPr>
              <w:t>Q1 2014/15</w:t>
            </w:r>
          </w:p>
        </w:tc>
        <w:tc>
          <w:tcPr>
            <w:tcW w:w="1084" w:type="dxa"/>
          </w:tcPr>
          <w:p w:rsidR="001E557E" w:rsidRPr="00D8666A" w:rsidRDefault="001E557E" w:rsidP="00BE4DD7">
            <w:pPr>
              <w:jc w:val="right"/>
              <w:rPr>
                <w:rFonts w:cs="Arial"/>
                <w:b/>
                <w:lang w:val="en-US"/>
              </w:rPr>
            </w:pPr>
            <w:r w:rsidRPr="00D8666A">
              <w:rPr>
                <w:rFonts w:cs="Arial"/>
                <w:b/>
                <w:lang w:val="en-US"/>
              </w:rPr>
              <w:t>Q2 2014/15</w:t>
            </w:r>
          </w:p>
        </w:tc>
        <w:tc>
          <w:tcPr>
            <w:tcW w:w="1084" w:type="dxa"/>
            <w:shd w:val="clear" w:color="auto" w:fill="E0E0E0"/>
            <w:vAlign w:val="bottom"/>
          </w:tcPr>
          <w:p w:rsidR="001E557E" w:rsidRPr="00D8666A" w:rsidRDefault="001E557E" w:rsidP="00BE4DD7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Q3 2014/15</w:t>
            </w:r>
          </w:p>
        </w:tc>
      </w:tr>
      <w:tr w:rsidR="001E557E" w:rsidRPr="00D8666A" w:rsidTr="001E557E">
        <w:trPr>
          <w:trHeight w:val="240"/>
        </w:trPr>
        <w:tc>
          <w:tcPr>
            <w:tcW w:w="1778" w:type="dxa"/>
            <w:shd w:val="clear" w:color="auto" w:fill="auto"/>
            <w:noWrap/>
            <w:vAlign w:val="bottom"/>
          </w:tcPr>
          <w:p w:rsidR="001E557E" w:rsidRPr="00D8666A" w:rsidRDefault="001E557E" w:rsidP="00BE4DD7">
            <w:pPr>
              <w:rPr>
                <w:rFonts w:cs="Arial"/>
                <w:lang w:val="en-US"/>
              </w:rPr>
            </w:pPr>
            <w:r w:rsidRPr="00D8666A">
              <w:rPr>
                <w:rFonts w:cs="Arial"/>
                <w:lang w:val="en-US"/>
              </w:rPr>
              <w:t>Red</w:t>
            </w:r>
          </w:p>
        </w:tc>
        <w:tc>
          <w:tcPr>
            <w:tcW w:w="1084" w:type="dxa"/>
          </w:tcPr>
          <w:p w:rsidR="001E557E" w:rsidRPr="00D8666A" w:rsidRDefault="001E557E" w:rsidP="00BE4DD7">
            <w:pPr>
              <w:jc w:val="right"/>
              <w:rPr>
                <w:rFonts w:cs="Arial"/>
                <w:lang w:val="en-US"/>
              </w:rPr>
            </w:pPr>
            <w:r w:rsidRPr="00D8666A">
              <w:rPr>
                <w:rFonts w:cs="Arial"/>
                <w:lang w:val="en-US"/>
              </w:rPr>
              <w:t>2</w:t>
            </w:r>
          </w:p>
        </w:tc>
        <w:tc>
          <w:tcPr>
            <w:tcW w:w="1084" w:type="dxa"/>
          </w:tcPr>
          <w:p w:rsidR="001E557E" w:rsidRPr="00D8666A" w:rsidRDefault="001E557E" w:rsidP="00BE4DD7">
            <w:pPr>
              <w:jc w:val="right"/>
              <w:rPr>
                <w:rFonts w:cs="Arial"/>
                <w:lang w:val="en-US"/>
              </w:rPr>
            </w:pPr>
            <w:r w:rsidRPr="00D8666A">
              <w:rPr>
                <w:rFonts w:cs="Arial"/>
                <w:lang w:val="en-US"/>
              </w:rPr>
              <w:t>0</w:t>
            </w:r>
          </w:p>
        </w:tc>
        <w:tc>
          <w:tcPr>
            <w:tcW w:w="1084" w:type="dxa"/>
          </w:tcPr>
          <w:p w:rsidR="001E557E" w:rsidRPr="00D8666A" w:rsidRDefault="001E557E" w:rsidP="00BE4DD7">
            <w:pPr>
              <w:jc w:val="right"/>
              <w:rPr>
                <w:rFonts w:cs="Arial"/>
                <w:lang w:val="en-US"/>
              </w:rPr>
            </w:pPr>
            <w:r w:rsidRPr="00D8666A">
              <w:rPr>
                <w:rFonts w:cs="Arial"/>
                <w:lang w:val="en-US"/>
              </w:rPr>
              <w:t>3</w:t>
            </w:r>
          </w:p>
        </w:tc>
        <w:tc>
          <w:tcPr>
            <w:tcW w:w="1084" w:type="dxa"/>
          </w:tcPr>
          <w:p w:rsidR="001E557E" w:rsidRPr="00D8666A" w:rsidRDefault="001E557E" w:rsidP="00BE4DD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</w:t>
            </w:r>
          </w:p>
        </w:tc>
        <w:tc>
          <w:tcPr>
            <w:tcW w:w="1084" w:type="dxa"/>
            <w:vAlign w:val="bottom"/>
          </w:tcPr>
          <w:p w:rsidR="001E557E" w:rsidRPr="00D8666A" w:rsidRDefault="00434C73" w:rsidP="00BE4DD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</w:t>
            </w:r>
          </w:p>
        </w:tc>
      </w:tr>
      <w:tr w:rsidR="001E557E" w:rsidRPr="00D8666A" w:rsidTr="001E557E">
        <w:trPr>
          <w:trHeight w:val="240"/>
        </w:trPr>
        <w:tc>
          <w:tcPr>
            <w:tcW w:w="1778" w:type="dxa"/>
            <w:shd w:val="clear" w:color="auto" w:fill="auto"/>
            <w:noWrap/>
            <w:vAlign w:val="bottom"/>
          </w:tcPr>
          <w:p w:rsidR="001E557E" w:rsidRPr="00D8666A" w:rsidRDefault="001E557E" w:rsidP="00BE4DD7">
            <w:pPr>
              <w:rPr>
                <w:rFonts w:cs="Arial"/>
                <w:lang w:val="en-US"/>
              </w:rPr>
            </w:pPr>
            <w:r w:rsidRPr="00D8666A">
              <w:rPr>
                <w:rFonts w:cs="Arial"/>
                <w:lang w:val="en-US"/>
              </w:rPr>
              <w:t xml:space="preserve">Amber </w:t>
            </w:r>
          </w:p>
        </w:tc>
        <w:tc>
          <w:tcPr>
            <w:tcW w:w="1084" w:type="dxa"/>
          </w:tcPr>
          <w:p w:rsidR="001E557E" w:rsidRPr="00D8666A" w:rsidRDefault="001E557E" w:rsidP="00BE4DD7">
            <w:pPr>
              <w:jc w:val="right"/>
              <w:rPr>
                <w:rFonts w:cs="Arial"/>
                <w:lang w:val="en-US"/>
              </w:rPr>
            </w:pPr>
            <w:r w:rsidRPr="00D8666A">
              <w:rPr>
                <w:rFonts w:cs="Arial"/>
                <w:lang w:val="en-US"/>
              </w:rPr>
              <w:t>48</w:t>
            </w:r>
          </w:p>
        </w:tc>
        <w:tc>
          <w:tcPr>
            <w:tcW w:w="1084" w:type="dxa"/>
          </w:tcPr>
          <w:p w:rsidR="001E557E" w:rsidRPr="00D8666A" w:rsidRDefault="001E557E" w:rsidP="00BE4DD7">
            <w:pPr>
              <w:jc w:val="right"/>
              <w:rPr>
                <w:rFonts w:cs="Arial"/>
                <w:lang w:val="en-US"/>
              </w:rPr>
            </w:pPr>
            <w:r w:rsidRPr="00D8666A">
              <w:rPr>
                <w:rFonts w:cs="Arial"/>
                <w:lang w:val="en-US"/>
              </w:rPr>
              <w:t>38</w:t>
            </w:r>
          </w:p>
        </w:tc>
        <w:tc>
          <w:tcPr>
            <w:tcW w:w="1084" w:type="dxa"/>
          </w:tcPr>
          <w:p w:rsidR="001E557E" w:rsidRPr="00D8666A" w:rsidRDefault="001E557E" w:rsidP="00BE4DD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36</w:t>
            </w:r>
          </w:p>
        </w:tc>
        <w:tc>
          <w:tcPr>
            <w:tcW w:w="1084" w:type="dxa"/>
          </w:tcPr>
          <w:p w:rsidR="001E557E" w:rsidRPr="00D8666A" w:rsidRDefault="001E557E" w:rsidP="00BE4DD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41</w:t>
            </w:r>
          </w:p>
        </w:tc>
        <w:tc>
          <w:tcPr>
            <w:tcW w:w="1084" w:type="dxa"/>
            <w:vAlign w:val="bottom"/>
          </w:tcPr>
          <w:p w:rsidR="001E557E" w:rsidRPr="00D8666A" w:rsidRDefault="00434C73" w:rsidP="009F27D2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</w:t>
            </w:r>
            <w:r w:rsidR="009F27D2">
              <w:rPr>
                <w:rFonts w:cs="Arial"/>
                <w:lang w:val="en-US"/>
              </w:rPr>
              <w:t>8</w:t>
            </w:r>
          </w:p>
        </w:tc>
      </w:tr>
      <w:tr w:rsidR="001E557E" w:rsidRPr="00D8666A" w:rsidTr="001E557E">
        <w:trPr>
          <w:trHeight w:val="240"/>
        </w:trPr>
        <w:tc>
          <w:tcPr>
            <w:tcW w:w="1778" w:type="dxa"/>
            <w:shd w:val="clear" w:color="auto" w:fill="auto"/>
            <w:noWrap/>
            <w:vAlign w:val="bottom"/>
          </w:tcPr>
          <w:p w:rsidR="001E557E" w:rsidRPr="00D8666A" w:rsidRDefault="001E557E" w:rsidP="00BE4DD7">
            <w:pPr>
              <w:rPr>
                <w:rFonts w:cs="Arial"/>
                <w:lang w:val="en-US"/>
              </w:rPr>
            </w:pPr>
            <w:r w:rsidRPr="00D8666A">
              <w:rPr>
                <w:rFonts w:cs="Arial"/>
                <w:lang w:val="en-US"/>
              </w:rPr>
              <w:t>Green</w:t>
            </w:r>
          </w:p>
        </w:tc>
        <w:tc>
          <w:tcPr>
            <w:tcW w:w="1084" w:type="dxa"/>
          </w:tcPr>
          <w:p w:rsidR="001E557E" w:rsidRPr="00D8666A" w:rsidRDefault="001E557E" w:rsidP="00BE4DD7">
            <w:pPr>
              <w:jc w:val="right"/>
              <w:rPr>
                <w:rFonts w:cs="Arial"/>
                <w:lang w:val="en-US"/>
              </w:rPr>
            </w:pPr>
            <w:r w:rsidRPr="00D8666A">
              <w:rPr>
                <w:rFonts w:cs="Arial"/>
                <w:lang w:val="en-US"/>
              </w:rPr>
              <w:t>36</w:t>
            </w:r>
          </w:p>
        </w:tc>
        <w:tc>
          <w:tcPr>
            <w:tcW w:w="1084" w:type="dxa"/>
          </w:tcPr>
          <w:p w:rsidR="001E557E" w:rsidRPr="00D8666A" w:rsidRDefault="001E557E" w:rsidP="00BE4DD7">
            <w:pPr>
              <w:jc w:val="right"/>
              <w:rPr>
                <w:rFonts w:cs="Arial"/>
                <w:lang w:val="en-US"/>
              </w:rPr>
            </w:pPr>
            <w:r w:rsidRPr="00D8666A">
              <w:rPr>
                <w:rFonts w:cs="Arial"/>
                <w:lang w:val="en-US"/>
              </w:rPr>
              <w:t>46</w:t>
            </w:r>
          </w:p>
        </w:tc>
        <w:tc>
          <w:tcPr>
            <w:tcW w:w="1084" w:type="dxa"/>
          </w:tcPr>
          <w:p w:rsidR="001E557E" w:rsidRPr="00D8666A" w:rsidRDefault="001E557E" w:rsidP="00BE4DD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42</w:t>
            </w:r>
          </w:p>
        </w:tc>
        <w:tc>
          <w:tcPr>
            <w:tcW w:w="1084" w:type="dxa"/>
          </w:tcPr>
          <w:p w:rsidR="001E557E" w:rsidRPr="00D8666A" w:rsidRDefault="001E557E" w:rsidP="00BE4DD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36</w:t>
            </w:r>
          </w:p>
        </w:tc>
        <w:tc>
          <w:tcPr>
            <w:tcW w:w="1084" w:type="dxa"/>
            <w:vAlign w:val="bottom"/>
          </w:tcPr>
          <w:p w:rsidR="001E557E" w:rsidRPr="00D8666A" w:rsidRDefault="00434C73" w:rsidP="009F27D2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</w:t>
            </w:r>
            <w:r w:rsidR="009F27D2">
              <w:rPr>
                <w:rFonts w:cs="Arial"/>
                <w:lang w:val="en-US"/>
              </w:rPr>
              <w:t>9</w:t>
            </w:r>
          </w:p>
        </w:tc>
      </w:tr>
      <w:tr w:rsidR="001E557E" w:rsidRPr="00D8666A" w:rsidTr="001E557E">
        <w:trPr>
          <w:trHeight w:val="240"/>
        </w:trPr>
        <w:tc>
          <w:tcPr>
            <w:tcW w:w="1778" w:type="dxa"/>
            <w:tcBorders>
              <w:bottom w:val="single" w:sz="8" w:space="0" w:color="000000"/>
            </w:tcBorders>
            <w:shd w:val="clear" w:color="auto" w:fill="E0E0E0"/>
            <w:noWrap/>
            <w:vAlign w:val="bottom"/>
          </w:tcPr>
          <w:p w:rsidR="001E557E" w:rsidRPr="00D8666A" w:rsidRDefault="001E557E" w:rsidP="00BE4DD7">
            <w:pPr>
              <w:rPr>
                <w:rFonts w:cs="Arial"/>
                <w:b/>
                <w:lang w:val="en-US"/>
              </w:rPr>
            </w:pPr>
            <w:r w:rsidRPr="00D8666A">
              <w:rPr>
                <w:rFonts w:cs="Arial"/>
                <w:b/>
                <w:lang w:val="en-US"/>
              </w:rPr>
              <w:t>Total risks</w:t>
            </w:r>
          </w:p>
        </w:tc>
        <w:tc>
          <w:tcPr>
            <w:tcW w:w="1084" w:type="dxa"/>
            <w:tcBorders>
              <w:bottom w:val="single" w:sz="8" w:space="0" w:color="000000"/>
            </w:tcBorders>
            <w:shd w:val="clear" w:color="auto" w:fill="E0E0E0"/>
          </w:tcPr>
          <w:p w:rsidR="001E557E" w:rsidRPr="00D8666A" w:rsidRDefault="001E557E" w:rsidP="00BE4DD7">
            <w:pPr>
              <w:jc w:val="right"/>
              <w:rPr>
                <w:rFonts w:cs="Arial"/>
                <w:b/>
                <w:lang w:val="en-US"/>
              </w:rPr>
            </w:pPr>
            <w:r w:rsidRPr="00D8666A">
              <w:rPr>
                <w:rFonts w:cs="Arial"/>
                <w:b/>
                <w:lang w:val="en-US"/>
              </w:rPr>
              <w:t>86</w:t>
            </w:r>
          </w:p>
        </w:tc>
        <w:tc>
          <w:tcPr>
            <w:tcW w:w="1084" w:type="dxa"/>
            <w:tcBorders>
              <w:bottom w:val="single" w:sz="8" w:space="0" w:color="000000"/>
            </w:tcBorders>
            <w:shd w:val="clear" w:color="auto" w:fill="E0E0E0"/>
          </w:tcPr>
          <w:p w:rsidR="001E557E" w:rsidRPr="00D8666A" w:rsidRDefault="001E557E" w:rsidP="00BE4DD7">
            <w:pPr>
              <w:jc w:val="right"/>
              <w:rPr>
                <w:rFonts w:cs="Arial"/>
                <w:b/>
                <w:lang w:val="en-US"/>
              </w:rPr>
            </w:pPr>
            <w:r w:rsidRPr="00D8666A">
              <w:rPr>
                <w:rFonts w:cs="Arial"/>
                <w:b/>
                <w:lang w:val="en-US"/>
              </w:rPr>
              <w:t>84</w:t>
            </w:r>
          </w:p>
        </w:tc>
        <w:tc>
          <w:tcPr>
            <w:tcW w:w="1084" w:type="dxa"/>
            <w:tcBorders>
              <w:bottom w:val="single" w:sz="8" w:space="0" w:color="000000"/>
            </w:tcBorders>
            <w:shd w:val="clear" w:color="auto" w:fill="E0E0E0"/>
          </w:tcPr>
          <w:p w:rsidR="001E557E" w:rsidRPr="00D8666A" w:rsidRDefault="001E557E" w:rsidP="00BE4DD7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81</w:t>
            </w:r>
          </w:p>
        </w:tc>
        <w:tc>
          <w:tcPr>
            <w:tcW w:w="1084" w:type="dxa"/>
            <w:tcBorders>
              <w:bottom w:val="single" w:sz="8" w:space="0" w:color="000000"/>
            </w:tcBorders>
            <w:shd w:val="clear" w:color="auto" w:fill="E0E0E0"/>
          </w:tcPr>
          <w:p w:rsidR="001E557E" w:rsidRPr="00D8666A" w:rsidRDefault="001E557E" w:rsidP="00BE4DD7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81</w:t>
            </w:r>
          </w:p>
        </w:tc>
        <w:tc>
          <w:tcPr>
            <w:tcW w:w="1084" w:type="dxa"/>
            <w:tcBorders>
              <w:bottom w:val="single" w:sz="8" w:space="0" w:color="000000"/>
            </w:tcBorders>
            <w:shd w:val="clear" w:color="auto" w:fill="E0E0E0"/>
            <w:vAlign w:val="bottom"/>
          </w:tcPr>
          <w:p w:rsidR="001E557E" w:rsidRPr="00D8666A" w:rsidRDefault="009F27D2" w:rsidP="00BE4DD7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77</w:t>
            </w:r>
          </w:p>
        </w:tc>
      </w:tr>
      <w:tr w:rsidR="001E557E" w:rsidRPr="00D8666A" w:rsidTr="009F27D2">
        <w:trPr>
          <w:trHeight w:val="240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557E" w:rsidRPr="00D8666A" w:rsidRDefault="001E557E" w:rsidP="00BE4DD7">
            <w:pPr>
              <w:rPr>
                <w:rFonts w:cs="Arial"/>
                <w:lang w:val="en-US"/>
              </w:rPr>
            </w:pPr>
            <w:r w:rsidRPr="00D8666A">
              <w:rPr>
                <w:rFonts w:cs="Arial"/>
                <w:lang w:val="en-US"/>
              </w:rPr>
              <w:t>New risks in quarter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57E" w:rsidRPr="00D8666A" w:rsidRDefault="001E557E" w:rsidP="00BE4DD7">
            <w:pPr>
              <w:jc w:val="right"/>
              <w:rPr>
                <w:rFonts w:cs="Arial"/>
                <w:lang w:val="en-US"/>
              </w:rPr>
            </w:pPr>
            <w:r w:rsidRPr="00D8666A">
              <w:rPr>
                <w:rFonts w:cs="Arial"/>
                <w:lang w:val="en-US"/>
              </w:rPr>
              <w:t>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57E" w:rsidRPr="00D8666A" w:rsidRDefault="001E557E" w:rsidP="00BE4DD7">
            <w:pPr>
              <w:jc w:val="right"/>
              <w:rPr>
                <w:rFonts w:cs="Arial"/>
                <w:lang w:val="en-US"/>
              </w:rPr>
            </w:pPr>
            <w:r w:rsidRPr="00D8666A">
              <w:rPr>
                <w:rFonts w:cs="Arial"/>
                <w:lang w:val="en-US"/>
              </w:rPr>
              <w:t>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57E" w:rsidRPr="00D8666A" w:rsidRDefault="001E557E" w:rsidP="00BE4DD7">
            <w:pPr>
              <w:jc w:val="right"/>
              <w:rPr>
                <w:rFonts w:cs="Arial"/>
                <w:lang w:val="en-US"/>
              </w:rPr>
            </w:pPr>
            <w:r w:rsidRPr="00D8666A">
              <w:rPr>
                <w:rFonts w:cs="Arial"/>
                <w:lang w:val="en-US"/>
              </w:rPr>
              <w:t>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57E" w:rsidRPr="00D8666A" w:rsidRDefault="001E557E" w:rsidP="00BE4DD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57E" w:rsidRPr="00D8666A" w:rsidRDefault="009F27D2" w:rsidP="009F27D2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</w:t>
            </w:r>
          </w:p>
        </w:tc>
      </w:tr>
      <w:tr w:rsidR="001E557E" w:rsidRPr="00D8666A" w:rsidTr="001E557E">
        <w:trPr>
          <w:trHeight w:val="240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557E" w:rsidRPr="00D8666A" w:rsidRDefault="001E557E" w:rsidP="00BE4DD7">
            <w:pPr>
              <w:rPr>
                <w:rFonts w:cs="Arial"/>
                <w:lang w:val="en-US"/>
              </w:rPr>
            </w:pPr>
            <w:r w:rsidRPr="00D8666A">
              <w:rPr>
                <w:rFonts w:cs="Arial"/>
                <w:lang w:val="en-US"/>
              </w:rPr>
              <w:t>Closed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57E" w:rsidRPr="00D8666A" w:rsidRDefault="001E557E" w:rsidP="00BE4DD7">
            <w:pPr>
              <w:jc w:val="right"/>
              <w:rPr>
                <w:rFonts w:cs="Arial"/>
                <w:lang w:val="en-US"/>
              </w:rPr>
            </w:pPr>
            <w:r w:rsidRPr="00D8666A">
              <w:rPr>
                <w:rFonts w:cs="Arial"/>
                <w:lang w:val="en-US"/>
              </w:rPr>
              <w:t>3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57E" w:rsidRPr="00D8666A" w:rsidRDefault="001E557E" w:rsidP="00BE4DD7">
            <w:pPr>
              <w:jc w:val="right"/>
              <w:rPr>
                <w:rFonts w:cs="Arial"/>
                <w:lang w:val="en-US"/>
              </w:rPr>
            </w:pPr>
            <w:r w:rsidRPr="00D8666A">
              <w:rPr>
                <w:rFonts w:cs="Arial"/>
                <w:lang w:val="en-US"/>
              </w:rPr>
              <w:t>2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57E" w:rsidRPr="00D8666A" w:rsidRDefault="001E557E" w:rsidP="00BE4DD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57E" w:rsidRPr="00D8666A" w:rsidRDefault="001E557E" w:rsidP="00BE4DD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557E" w:rsidRPr="00D8666A" w:rsidRDefault="009F27D2" w:rsidP="00BE4DD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</w:t>
            </w:r>
          </w:p>
        </w:tc>
      </w:tr>
    </w:tbl>
    <w:p w:rsidR="001E557E" w:rsidRPr="001E557E" w:rsidRDefault="001E557E" w:rsidP="001E557E">
      <w:pPr>
        <w:jc w:val="both"/>
        <w:rPr>
          <w:rFonts w:cs="Arial"/>
        </w:rPr>
      </w:pPr>
    </w:p>
    <w:p w:rsidR="001E557E" w:rsidRPr="001E557E" w:rsidRDefault="001E557E" w:rsidP="001E557E">
      <w:pPr>
        <w:pStyle w:val="ListParagraph"/>
        <w:ind w:left="927"/>
        <w:jc w:val="both"/>
        <w:rPr>
          <w:rFonts w:cs="Arial"/>
        </w:rPr>
      </w:pPr>
    </w:p>
    <w:p w:rsidR="00C95027" w:rsidRDefault="00434C73" w:rsidP="000B6C62">
      <w:pPr>
        <w:pStyle w:val="ListParagraph"/>
        <w:ind w:left="927"/>
        <w:rPr>
          <w:rFonts w:cs="Arial"/>
          <w:b/>
        </w:rPr>
      </w:pPr>
      <w:r>
        <w:rPr>
          <w:rFonts w:cs="Arial"/>
          <w:b/>
        </w:rPr>
        <w:t xml:space="preserve"> Service Area Risk Summary </w:t>
      </w:r>
    </w:p>
    <w:p w:rsidR="000B6C62" w:rsidRPr="000B6C62" w:rsidRDefault="000B6C62" w:rsidP="000B6C62">
      <w:pPr>
        <w:rPr>
          <w:rFonts w:cs="Arial"/>
          <w:b/>
        </w:rPr>
      </w:pPr>
    </w:p>
    <w:p w:rsidR="00110C9E" w:rsidRDefault="00110C9E" w:rsidP="008726C8">
      <w:pPr>
        <w:pStyle w:val="ListParagraph"/>
        <w:numPr>
          <w:ilvl w:val="0"/>
          <w:numId w:val="2"/>
        </w:numPr>
        <w:rPr>
          <w:rFonts w:cs="Arial"/>
        </w:rPr>
      </w:pPr>
      <w:r w:rsidRPr="000B6C62">
        <w:rPr>
          <w:rFonts w:cs="Arial"/>
        </w:rPr>
        <w:t xml:space="preserve">The table below shows </w:t>
      </w:r>
      <w:r w:rsidR="000B6C62">
        <w:rPr>
          <w:rFonts w:cs="Arial"/>
        </w:rPr>
        <w:t>the how the service area risks have been scored in accordance to the risk matrix.</w:t>
      </w:r>
    </w:p>
    <w:p w:rsidR="000B6C62" w:rsidRPr="000B6C62" w:rsidRDefault="000B6C62" w:rsidP="000B6C62">
      <w:pPr>
        <w:pStyle w:val="ListParagraph"/>
        <w:ind w:left="927"/>
        <w:rPr>
          <w:rFonts w:cs="Arial"/>
        </w:rPr>
      </w:pPr>
    </w:p>
    <w:p w:rsidR="000B6C62" w:rsidRPr="000B6C62" w:rsidRDefault="000B6C62" w:rsidP="000B6C62">
      <w:pPr>
        <w:rPr>
          <w:rFonts w:cs="Arial"/>
          <w:b/>
        </w:rPr>
      </w:pPr>
      <w:r>
        <w:rPr>
          <w:noProof/>
          <w:lang w:eastAsia="en-GB"/>
        </w:rPr>
        <w:drawing>
          <wp:inline distT="0" distB="0" distL="0" distR="0" wp14:anchorId="35841568" wp14:editId="27360B3A">
            <wp:extent cx="5274310" cy="1359713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C73" w:rsidRDefault="00434C73" w:rsidP="00434C73">
      <w:pPr>
        <w:rPr>
          <w:rFonts w:cs="Arial"/>
          <w:b/>
        </w:rPr>
      </w:pPr>
    </w:p>
    <w:p w:rsidR="00434C73" w:rsidRPr="00434C73" w:rsidRDefault="00434C73" w:rsidP="00434C73">
      <w:pPr>
        <w:rPr>
          <w:rFonts w:cs="Arial"/>
          <w:b/>
        </w:rPr>
      </w:pPr>
    </w:p>
    <w:p w:rsidR="006646E8" w:rsidRDefault="006646E8" w:rsidP="006646E8">
      <w:pPr>
        <w:rPr>
          <w:rFonts w:cs="Arial"/>
          <w:b/>
        </w:rPr>
      </w:pPr>
    </w:p>
    <w:p w:rsidR="00CA509D" w:rsidRDefault="008821BC" w:rsidP="00714826">
      <w:pPr>
        <w:pStyle w:val="ListParagraph"/>
        <w:ind w:left="927"/>
        <w:rPr>
          <w:rFonts w:cs="Arial"/>
        </w:rPr>
      </w:pPr>
      <w:r w:rsidRPr="00CA509D">
        <w:rPr>
          <w:rFonts w:cs="Arial"/>
          <w:b/>
        </w:rPr>
        <w:t xml:space="preserve"> </w:t>
      </w:r>
      <w:r w:rsidRPr="00714826">
        <w:rPr>
          <w:rFonts w:cs="Arial"/>
        </w:rPr>
        <w:t xml:space="preserve">All risks continued to be mitigated and </w:t>
      </w:r>
      <w:r w:rsidR="009236C6" w:rsidRPr="00714826">
        <w:rPr>
          <w:rFonts w:cs="Arial"/>
        </w:rPr>
        <w:t xml:space="preserve">the </w:t>
      </w:r>
      <w:r w:rsidR="003645B6">
        <w:rPr>
          <w:rFonts w:cs="Arial"/>
        </w:rPr>
        <w:t>number of red risks</w:t>
      </w:r>
      <w:r w:rsidR="003645B6" w:rsidRPr="00714826">
        <w:rPr>
          <w:rFonts w:cs="Arial"/>
        </w:rPr>
        <w:t xml:space="preserve"> </w:t>
      </w:r>
      <w:r w:rsidRPr="00714826">
        <w:rPr>
          <w:rFonts w:cs="Arial"/>
        </w:rPr>
        <w:t>remain</w:t>
      </w:r>
      <w:r w:rsidR="009236C6" w:rsidRPr="00714826">
        <w:rPr>
          <w:rFonts w:cs="Arial"/>
        </w:rPr>
        <w:t>s</w:t>
      </w:r>
      <w:r w:rsidRPr="00714826">
        <w:rPr>
          <w:rFonts w:cs="Arial"/>
        </w:rPr>
        <w:t xml:space="preserve"> consistent with Q2. The risks will however be reviewed as part of service planning </w:t>
      </w:r>
      <w:r w:rsidR="00CA509D" w:rsidRPr="00714826">
        <w:rPr>
          <w:rFonts w:cs="Arial"/>
        </w:rPr>
        <w:t xml:space="preserve">and will take in to account their </w:t>
      </w:r>
      <w:r w:rsidRPr="00714826">
        <w:rPr>
          <w:rFonts w:cs="Arial"/>
        </w:rPr>
        <w:t>BIA’s</w:t>
      </w:r>
      <w:r w:rsidR="00CA509D" w:rsidRPr="00714826">
        <w:rPr>
          <w:rFonts w:cs="Arial"/>
        </w:rPr>
        <w:t>.</w:t>
      </w:r>
    </w:p>
    <w:p w:rsidR="00714826" w:rsidRPr="00714826" w:rsidRDefault="00714826" w:rsidP="00714826">
      <w:pPr>
        <w:pStyle w:val="ListParagraph"/>
        <w:ind w:left="927"/>
        <w:rPr>
          <w:rFonts w:cs="Arial"/>
        </w:rPr>
      </w:pPr>
    </w:p>
    <w:p w:rsidR="006646E8" w:rsidRPr="00CA509D" w:rsidRDefault="006646E8" w:rsidP="00714826">
      <w:pPr>
        <w:pStyle w:val="ListParagraph"/>
        <w:ind w:left="927"/>
        <w:rPr>
          <w:rFonts w:cs="Arial"/>
          <w:b/>
        </w:rPr>
      </w:pPr>
      <w:r w:rsidRPr="00CA509D">
        <w:rPr>
          <w:rFonts w:cs="Arial"/>
          <w:b/>
        </w:rPr>
        <w:t>Legal Issues</w:t>
      </w:r>
    </w:p>
    <w:p w:rsidR="0097083A" w:rsidRDefault="0097083A">
      <w:pPr>
        <w:rPr>
          <w:rFonts w:cs="Arial"/>
          <w:b/>
        </w:rPr>
      </w:pPr>
    </w:p>
    <w:p w:rsidR="0097083A" w:rsidRPr="0097083A" w:rsidRDefault="0097083A" w:rsidP="00713B20">
      <w:pPr>
        <w:pStyle w:val="ListParagraph"/>
        <w:numPr>
          <w:ilvl w:val="0"/>
          <w:numId w:val="2"/>
        </w:numPr>
        <w:jc w:val="both"/>
        <w:rPr>
          <w:rFonts w:cs="Arial"/>
          <w:b/>
        </w:rPr>
      </w:pPr>
      <w:r w:rsidRPr="00871CD8">
        <w:rPr>
          <w:rFonts w:cs="Arial"/>
        </w:rPr>
        <w:t>There are no legal implications directly relevant to this report</w:t>
      </w:r>
      <w:r>
        <w:rPr>
          <w:rFonts w:cs="Arial"/>
        </w:rPr>
        <w:t xml:space="preserve"> but having proper arrangements to manage risk throughout the organisation is an important component of corporate governance.</w:t>
      </w:r>
    </w:p>
    <w:p w:rsidR="007B6E54" w:rsidRDefault="007B6E54" w:rsidP="00713B20">
      <w:pPr>
        <w:jc w:val="both"/>
        <w:rPr>
          <w:rFonts w:cs="Arial"/>
          <w:i/>
        </w:rPr>
      </w:pPr>
    </w:p>
    <w:p w:rsidR="004A2CEC" w:rsidRDefault="004A2CEC" w:rsidP="00713B20">
      <w:pPr>
        <w:jc w:val="both"/>
        <w:rPr>
          <w:rFonts w:cs="Arial"/>
          <w:i/>
        </w:rPr>
      </w:pPr>
    </w:p>
    <w:p w:rsidR="007B6E54" w:rsidRDefault="007B6E54">
      <w:pPr>
        <w:rPr>
          <w:rFonts w:cs="Arial"/>
          <w:b/>
        </w:rPr>
      </w:pPr>
      <w:r w:rsidRPr="007B6E54">
        <w:rPr>
          <w:rFonts w:cs="Arial"/>
          <w:b/>
        </w:rPr>
        <w:t>Financial Issues</w:t>
      </w:r>
    </w:p>
    <w:p w:rsidR="0097083A" w:rsidRDefault="0097083A">
      <w:pPr>
        <w:rPr>
          <w:rFonts w:cs="Arial"/>
          <w:b/>
        </w:rPr>
      </w:pPr>
    </w:p>
    <w:p w:rsidR="0097083A" w:rsidRPr="0097083A" w:rsidRDefault="0097083A" w:rsidP="008726C8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97083A">
        <w:rPr>
          <w:rFonts w:cs="Arial"/>
        </w:rPr>
        <w:t xml:space="preserve">The Robust management of risk should assist in mitigating the financial impact to the Council should the event occur. </w:t>
      </w:r>
    </w:p>
    <w:p w:rsidR="0097083A" w:rsidRDefault="0097083A" w:rsidP="0097083A">
      <w:pPr>
        <w:pStyle w:val="ListParagraph"/>
        <w:ind w:left="927"/>
        <w:rPr>
          <w:rFonts w:cs="Arial"/>
          <w:b/>
        </w:rPr>
      </w:pPr>
    </w:p>
    <w:p w:rsidR="00F5664A" w:rsidRPr="0097083A" w:rsidRDefault="00F5664A" w:rsidP="0097083A">
      <w:pPr>
        <w:pStyle w:val="ListParagraph"/>
        <w:ind w:left="927"/>
        <w:rPr>
          <w:rFonts w:cs="Arial"/>
          <w:b/>
        </w:rPr>
      </w:pPr>
    </w:p>
    <w:p w:rsidR="007B6E54" w:rsidRDefault="007B6E54">
      <w:pPr>
        <w:rPr>
          <w:rFonts w:cs="Arial"/>
          <w:b/>
        </w:rPr>
      </w:pPr>
      <w:r>
        <w:rPr>
          <w:rFonts w:cs="Arial"/>
          <w:b/>
        </w:rPr>
        <w:t>Environmental Impact</w:t>
      </w:r>
    </w:p>
    <w:p w:rsidR="0097083A" w:rsidRDefault="0097083A">
      <w:pPr>
        <w:rPr>
          <w:rFonts w:cs="Arial"/>
          <w:b/>
        </w:rPr>
      </w:pPr>
    </w:p>
    <w:p w:rsidR="0097083A" w:rsidRPr="0097083A" w:rsidRDefault="0097083A" w:rsidP="008726C8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2E3EE9">
        <w:rPr>
          <w:rFonts w:cs="Arial"/>
        </w:rPr>
        <w:t>This report contains no environmental impact.</w:t>
      </w:r>
    </w:p>
    <w:p w:rsidR="007B6E54" w:rsidRDefault="007B6E54">
      <w:pPr>
        <w:rPr>
          <w:rFonts w:cs="Arial"/>
          <w:b/>
        </w:rPr>
      </w:pPr>
    </w:p>
    <w:p w:rsidR="007B6E54" w:rsidRDefault="007B6E54">
      <w:pPr>
        <w:rPr>
          <w:rFonts w:cs="Arial"/>
        </w:rPr>
      </w:pPr>
      <w:r>
        <w:rPr>
          <w:rFonts w:cs="Arial"/>
          <w:b/>
        </w:rPr>
        <w:t>Level of Risk</w:t>
      </w:r>
      <w:r w:rsidR="0097083A">
        <w:rPr>
          <w:rFonts w:cs="Arial"/>
        </w:rPr>
        <w:t>:</w:t>
      </w:r>
    </w:p>
    <w:p w:rsidR="0097083A" w:rsidRPr="0097083A" w:rsidRDefault="0097083A">
      <w:pPr>
        <w:rPr>
          <w:rFonts w:cs="Arial"/>
        </w:rPr>
      </w:pPr>
    </w:p>
    <w:p w:rsidR="0097083A" w:rsidRPr="0097083A" w:rsidRDefault="0097083A" w:rsidP="008726C8">
      <w:pPr>
        <w:pStyle w:val="ListParagraph"/>
        <w:numPr>
          <w:ilvl w:val="0"/>
          <w:numId w:val="2"/>
        </w:numPr>
        <w:rPr>
          <w:rFonts w:cs="Arial"/>
        </w:rPr>
      </w:pPr>
      <w:r w:rsidRPr="0097083A">
        <w:rPr>
          <w:rFonts w:cs="Arial"/>
        </w:rPr>
        <w:t>See appendix A</w:t>
      </w:r>
    </w:p>
    <w:p w:rsidR="0097083A" w:rsidRPr="0097083A" w:rsidRDefault="0097083A" w:rsidP="0097083A">
      <w:pPr>
        <w:pStyle w:val="ListParagraph"/>
        <w:ind w:left="927"/>
        <w:rPr>
          <w:rFonts w:cs="Arial"/>
          <w:b/>
        </w:rPr>
      </w:pPr>
    </w:p>
    <w:p w:rsidR="00F4367A" w:rsidRDefault="007B6E54">
      <w:pPr>
        <w:rPr>
          <w:rFonts w:cs="Arial"/>
          <w:i/>
        </w:rPr>
      </w:pPr>
      <w:r w:rsidRPr="007B6E54">
        <w:rPr>
          <w:rFonts w:cs="Arial"/>
          <w:b/>
        </w:rPr>
        <w:t>Equalities</w:t>
      </w:r>
      <w:r w:rsidR="00A41865">
        <w:rPr>
          <w:rFonts w:cs="Arial"/>
          <w:b/>
        </w:rPr>
        <w:t>:</w:t>
      </w:r>
    </w:p>
    <w:p w:rsidR="0097083A" w:rsidRDefault="0097083A">
      <w:pPr>
        <w:rPr>
          <w:rFonts w:cs="Arial"/>
          <w:i/>
        </w:rPr>
      </w:pPr>
    </w:p>
    <w:p w:rsidR="0097083A" w:rsidRDefault="0097083A" w:rsidP="008726C8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 </w:t>
      </w:r>
      <w:r w:rsidR="00522BE9">
        <w:rPr>
          <w:rFonts w:cs="Arial"/>
        </w:rPr>
        <w:t>This</w:t>
      </w:r>
      <w:r w:rsidR="00A41865">
        <w:rPr>
          <w:rFonts w:cs="Arial"/>
        </w:rPr>
        <w:t xml:space="preserve"> report </w:t>
      </w:r>
      <w:r w:rsidR="00522BE9">
        <w:rPr>
          <w:rFonts w:cs="Arial"/>
        </w:rPr>
        <w:t xml:space="preserve">does not contain any potential equalities </w:t>
      </w:r>
      <w:r w:rsidR="00A41865">
        <w:rPr>
          <w:rFonts w:cs="Arial"/>
        </w:rPr>
        <w:t xml:space="preserve">impact </w:t>
      </w:r>
      <w:r w:rsidR="00522BE9">
        <w:rPr>
          <w:rFonts w:cs="Arial"/>
        </w:rPr>
        <w:t>issues</w:t>
      </w:r>
      <w:r w:rsidR="00A41865">
        <w:rPr>
          <w:rFonts w:cs="Arial"/>
        </w:rPr>
        <w:t>.</w:t>
      </w:r>
    </w:p>
    <w:p w:rsidR="00620816" w:rsidRPr="0097083A" w:rsidRDefault="00620816" w:rsidP="00620816">
      <w:pPr>
        <w:pStyle w:val="ListParagraph"/>
        <w:ind w:left="927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13675">
        <w:tc>
          <w:tcPr>
            <w:tcW w:w="8522" w:type="dxa"/>
          </w:tcPr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b/>
                <w:bCs/>
              </w:rPr>
              <w:t>Name and contact details of author:-</w:t>
            </w:r>
          </w:p>
        </w:tc>
      </w:tr>
      <w:tr w:rsidR="00713675">
        <w:tc>
          <w:tcPr>
            <w:tcW w:w="8522" w:type="dxa"/>
          </w:tcPr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Name</w:t>
            </w:r>
            <w:r w:rsidR="002B5264">
              <w:t>: Shaun Vinnicombe</w:t>
            </w:r>
          </w:p>
        </w:tc>
      </w:tr>
      <w:tr w:rsidR="00713675">
        <w:tc>
          <w:tcPr>
            <w:tcW w:w="8522" w:type="dxa"/>
          </w:tcPr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Job title</w:t>
            </w:r>
            <w:r w:rsidR="002B5264">
              <w:t xml:space="preserve"> : Risk and Insurance Officer</w:t>
            </w:r>
          </w:p>
        </w:tc>
      </w:tr>
      <w:tr w:rsidR="00713675">
        <w:tc>
          <w:tcPr>
            <w:tcW w:w="8522" w:type="dxa"/>
          </w:tcPr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Service Area / Department</w:t>
            </w:r>
            <w:r w:rsidR="002B5264">
              <w:t xml:space="preserve"> : Finance</w:t>
            </w:r>
          </w:p>
        </w:tc>
      </w:tr>
      <w:tr w:rsidR="00713675">
        <w:tc>
          <w:tcPr>
            <w:tcW w:w="8522" w:type="dxa"/>
          </w:tcPr>
          <w:p w:rsidR="00713675" w:rsidRDefault="00713675" w:rsidP="002B526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FF"/>
                <w:u w:val="single"/>
              </w:rPr>
            </w:pPr>
            <w:r>
              <w:t xml:space="preserve">Tel:  01865 </w:t>
            </w:r>
            <w:r w:rsidR="002B5264">
              <w:t>252048</w:t>
            </w:r>
            <w:r>
              <w:t xml:space="preserve">  e-mail:  </w:t>
            </w:r>
            <w:hyperlink r:id="rId12" w:history="1">
              <w:r w:rsidR="002B5264" w:rsidRPr="00230654">
                <w:rPr>
                  <w:rStyle w:val="Hyperlink"/>
                </w:rPr>
                <w:t>svinnicombe@oxford.gov.uk</w:t>
              </w:r>
            </w:hyperlink>
          </w:p>
        </w:tc>
      </w:tr>
      <w:tr w:rsidR="002B5264">
        <w:tc>
          <w:tcPr>
            <w:tcW w:w="8522" w:type="dxa"/>
          </w:tcPr>
          <w:p w:rsidR="002B5264" w:rsidRDefault="002B5264" w:rsidP="002B526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</w:tc>
      </w:tr>
    </w:tbl>
    <w:p w:rsidR="00F4367A" w:rsidRDefault="00F4367A">
      <w:pPr>
        <w:rPr>
          <w:rFonts w:cs="Arial"/>
          <w:b/>
          <w:bCs/>
          <w:sz w:val="20"/>
        </w:rPr>
      </w:pPr>
    </w:p>
    <w:p w:rsidR="00623C2F" w:rsidRPr="00623C2F" w:rsidRDefault="00623C2F">
      <w:pPr>
        <w:rPr>
          <w:rFonts w:cs="Arial"/>
          <w:bCs/>
          <w:i/>
        </w:rPr>
      </w:pPr>
    </w:p>
    <w:p w:rsidR="00F4367A" w:rsidRDefault="00F4367A">
      <w:pPr>
        <w:rPr>
          <w:b/>
          <w:bCs/>
        </w:rPr>
      </w:pPr>
    </w:p>
    <w:p w:rsidR="007B6E54" w:rsidRDefault="007B6E54">
      <w:pPr>
        <w:rPr>
          <w:bCs/>
        </w:rPr>
      </w:pPr>
    </w:p>
    <w:sectPr w:rsidR="007B6E54">
      <w:pgSz w:w="11906" w:h="16838"/>
      <w:pgMar w:top="1440" w:right="1800" w:bottom="1440" w:left="1800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08" w:rsidRDefault="00F75C08">
      <w:r>
        <w:separator/>
      </w:r>
    </w:p>
  </w:endnote>
  <w:endnote w:type="continuationSeparator" w:id="0">
    <w:p w:rsidR="00F75C08" w:rsidRDefault="00F7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08" w:rsidRDefault="00F75C08">
      <w:r>
        <w:separator/>
      </w:r>
    </w:p>
  </w:footnote>
  <w:footnote w:type="continuationSeparator" w:id="0">
    <w:p w:rsidR="00F75C08" w:rsidRDefault="00F75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E651F"/>
    <w:multiLevelType w:val="hybridMultilevel"/>
    <w:tmpl w:val="9D3EBC30"/>
    <w:lvl w:ilvl="0" w:tplc="7C06539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E0100"/>
    <w:multiLevelType w:val="hybridMultilevel"/>
    <w:tmpl w:val="F1D29024"/>
    <w:lvl w:ilvl="0" w:tplc="B67C35EC">
      <w:start w:val="100"/>
      <w:numFmt w:val="decimal"/>
      <w:lvlText w:val="%1"/>
      <w:lvlJc w:val="left"/>
      <w:pPr>
        <w:ind w:left="972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7E00E4"/>
    <w:multiLevelType w:val="hybridMultilevel"/>
    <w:tmpl w:val="B1603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E3DFE"/>
    <w:multiLevelType w:val="hybridMultilevel"/>
    <w:tmpl w:val="FB2A18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AD49C8"/>
    <w:multiLevelType w:val="hybridMultilevel"/>
    <w:tmpl w:val="EB5256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35603"/>
    <w:multiLevelType w:val="hybridMultilevel"/>
    <w:tmpl w:val="F664FA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C0B23"/>
    <w:multiLevelType w:val="hybridMultilevel"/>
    <w:tmpl w:val="9A88D232"/>
    <w:lvl w:ilvl="0" w:tplc="7C06539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3A60A2"/>
    <w:multiLevelType w:val="hybridMultilevel"/>
    <w:tmpl w:val="9D3EBC30"/>
    <w:lvl w:ilvl="0" w:tplc="7C06539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104AE8"/>
    <w:multiLevelType w:val="hybridMultilevel"/>
    <w:tmpl w:val="9D3EBC30"/>
    <w:lvl w:ilvl="0" w:tplc="7C06539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73"/>
    <w:rsid w:val="00031F52"/>
    <w:rsid w:val="00056263"/>
    <w:rsid w:val="000B6C62"/>
    <w:rsid w:val="000C3928"/>
    <w:rsid w:val="00110C9E"/>
    <w:rsid w:val="00123DE4"/>
    <w:rsid w:val="001D4179"/>
    <w:rsid w:val="001E557E"/>
    <w:rsid w:val="0020405A"/>
    <w:rsid w:val="00205320"/>
    <w:rsid w:val="0023299C"/>
    <w:rsid w:val="002B5264"/>
    <w:rsid w:val="002D2EA4"/>
    <w:rsid w:val="00336EAB"/>
    <w:rsid w:val="003645B6"/>
    <w:rsid w:val="003B36B0"/>
    <w:rsid w:val="003C2714"/>
    <w:rsid w:val="00434C73"/>
    <w:rsid w:val="00465EAF"/>
    <w:rsid w:val="00466306"/>
    <w:rsid w:val="00470E2F"/>
    <w:rsid w:val="004A2CEC"/>
    <w:rsid w:val="004E2688"/>
    <w:rsid w:val="004F377C"/>
    <w:rsid w:val="00522BE9"/>
    <w:rsid w:val="0052634D"/>
    <w:rsid w:val="00620816"/>
    <w:rsid w:val="00623C2F"/>
    <w:rsid w:val="00657A8D"/>
    <w:rsid w:val="006646E8"/>
    <w:rsid w:val="006820E8"/>
    <w:rsid w:val="006E3B55"/>
    <w:rsid w:val="006F30D2"/>
    <w:rsid w:val="006F416B"/>
    <w:rsid w:val="006F6384"/>
    <w:rsid w:val="00707C28"/>
    <w:rsid w:val="00713675"/>
    <w:rsid w:val="00713B20"/>
    <w:rsid w:val="00714826"/>
    <w:rsid w:val="00771E3D"/>
    <w:rsid w:val="007B6E54"/>
    <w:rsid w:val="007D051C"/>
    <w:rsid w:val="007E33BE"/>
    <w:rsid w:val="007E4914"/>
    <w:rsid w:val="00802733"/>
    <w:rsid w:val="00855C66"/>
    <w:rsid w:val="008572A5"/>
    <w:rsid w:val="0086599A"/>
    <w:rsid w:val="008726C8"/>
    <w:rsid w:val="008821BC"/>
    <w:rsid w:val="00895AD6"/>
    <w:rsid w:val="008B43DA"/>
    <w:rsid w:val="008D150F"/>
    <w:rsid w:val="008D3320"/>
    <w:rsid w:val="008D3DDB"/>
    <w:rsid w:val="009236C6"/>
    <w:rsid w:val="00925E65"/>
    <w:rsid w:val="0097083A"/>
    <w:rsid w:val="00971689"/>
    <w:rsid w:val="00973E90"/>
    <w:rsid w:val="009F27D2"/>
    <w:rsid w:val="00A41865"/>
    <w:rsid w:val="00A418BD"/>
    <w:rsid w:val="00A92D8F"/>
    <w:rsid w:val="00AD0EFB"/>
    <w:rsid w:val="00AD2A14"/>
    <w:rsid w:val="00AD3292"/>
    <w:rsid w:val="00AE5AB8"/>
    <w:rsid w:val="00B24364"/>
    <w:rsid w:val="00B37D89"/>
    <w:rsid w:val="00B63816"/>
    <w:rsid w:val="00BF00CB"/>
    <w:rsid w:val="00C02A4A"/>
    <w:rsid w:val="00C2692F"/>
    <w:rsid w:val="00C95027"/>
    <w:rsid w:val="00CA509D"/>
    <w:rsid w:val="00CC3662"/>
    <w:rsid w:val="00CD7E14"/>
    <w:rsid w:val="00CE3524"/>
    <w:rsid w:val="00CE5180"/>
    <w:rsid w:val="00CF4213"/>
    <w:rsid w:val="00DA462F"/>
    <w:rsid w:val="00E01F42"/>
    <w:rsid w:val="00E9605D"/>
    <w:rsid w:val="00EA0DB1"/>
    <w:rsid w:val="00EA2FDD"/>
    <w:rsid w:val="00F4367A"/>
    <w:rsid w:val="00F5664A"/>
    <w:rsid w:val="00F75C08"/>
    <w:rsid w:val="00F7606D"/>
    <w:rsid w:val="00FA624C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083A"/>
    <w:pPr>
      <w:ind w:left="720"/>
    </w:pPr>
  </w:style>
  <w:style w:type="table" w:styleId="TableGrid">
    <w:name w:val="Table Grid"/>
    <w:basedOn w:val="TableNormal"/>
    <w:uiPriority w:val="59"/>
    <w:rsid w:val="0097083A"/>
    <w:rPr>
      <w:rFonts w:ascii="Arial" w:eastAsiaTheme="minorHAnsi" w:hAnsi="Arial" w:cs="Arial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821BC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083A"/>
    <w:pPr>
      <w:ind w:left="720"/>
    </w:pPr>
  </w:style>
  <w:style w:type="table" w:styleId="TableGrid">
    <w:name w:val="Table Grid"/>
    <w:basedOn w:val="TableNormal"/>
    <w:uiPriority w:val="59"/>
    <w:rsid w:val="0097083A"/>
    <w:rPr>
      <w:rFonts w:ascii="Arial" w:eastAsiaTheme="minorHAnsi" w:hAnsi="Arial" w:cs="Arial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821BC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vinnicombe@oxfor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CCBBD3DB</Template>
  <TotalTime>8</TotalTime>
  <Pages>5</Pages>
  <Words>942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Vinnicombe</dc:creator>
  <cp:lastModifiedBy>Shaun Vinnicombe</cp:lastModifiedBy>
  <cp:revision>4</cp:revision>
  <cp:lastPrinted>2010-10-15T09:32:00Z</cp:lastPrinted>
  <dcterms:created xsi:type="dcterms:W3CDTF">2015-02-13T12:11:00Z</dcterms:created>
  <dcterms:modified xsi:type="dcterms:W3CDTF">2015-02-16T10:13:00Z</dcterms:modified>
</cp:coreProperties>
</file>